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C0AF" w14:textId="56D0C229" w:rsidR="007D644A" w:rsidRDefault="006052BD" w:rsidP="007F3D4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OEB Staff – Hydro One Discussion</w:t>
      </w:r>
    </w:p>
    <w:p w14:paraId="4D74CCF9" w14:textId="5B48CAA5" w:rsidR="006052BD" w:rsidRDefault="006052BD" w:rsidP="007F3D4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28, 2023</w:t>
      </w:r>
    </w:p>
    <w:p w14:paraId="2A0E754A" w14:textId="77777777" w:rsidR="006052BD" w:rsidRDefault="006052BD" w:rsidP="007F3D4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0BE277A" w14:textId="0511A49A" w:rsidR="00AC0660" w:rsidRPr="00417FF7" w:rsidRDefault="00AC0660" w:rsidP="007F3D40">
      <w:pPr>
        <w:pStyle w:val="ListParagraph"/>
        <w:spacing w:after="0" w:line="276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417FF7">
        <w:rPr>
          <w:rFonts w:ascii="Arial" w:hAnsi="Arial" w:cs="Arial"/>
          <w:b/>
          <w:bCs/>
          <w:sz w:val="24"/>
          <w:szCs w:val="24"/>
        </w:rPr>
        <w:t>Background</w:t>
      </w:r>
    </w:p>
    <w:p w14:paraId="30696CB9" w14:textId="77777777" w:rsidR="00AC0660" w:rsidRDefault="00AC0660" w:rsidP="007F3D40">
      <w:pPr>
        <w:pStyle w:val="ListParagraph"/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14:paraId="4A58F9F0" w14:textId="312D42D3" w:rsidR="00184F92" w:rsidRDefault="00184F92" w:rsidP="007F3D40">
      <w:pPr>
        <w:pStyle w:val="ListParagraph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OEB staff notes that section 3.2.6 of the Filing Requirements</w:t>
      </w:r>
      <w:r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456EC6">
        <w:rPr>
          <w:rFonts w:ascii="Arial" w:hAnsi="Arial" w:cs="Arial"/>
          <w:sz w:val="24"/>
          <w:szCs w:val="24"/>
        </w:rPr>
        <w:t xml:space="preserve"> </w:t>
      </w:r>
      <w:r w:rsidR="00933F47">
        <w:rPr>
          <w:rFonts w:ascii="Arial" w:hAnsi="Arial" w:cs="Arial"/>
          <w:sz w:val="24"/>
          <w:szCs w:val="24"/>
        </w:rPr>
        <w:t xml:space="preserve">outlines required documentation to be filed in a proceeding, relating to </w:t>
      </w:r>
      <w:r w:rsidR="007D4EC2">
        <w:rPr>
          <w:rFonts w:ascii="Arial" w:hAnsi="Arial" w:cs="Arial"/>
          <w:sz w:val="24"/>
          <w:szCs w:val="24"/>
        </w:rPr>
        <w:t xml:space="preserve">any </w:t>
      </w:r>
      <w:r w:rsidR="00933F47" w:rsidRPr="00933F47">
        <w:rPr>
          <w:rFonts w:ascii="Arial" w:hAnsi="Arial" w:cs="Arial"/>
          <w:sz w:val="24"/>
          <w:szCs w:val="24"/>
        </w:rPr>
        <w:t xml:space="preserve">adjustments </w:t>
      </w:r>
      <w:r w:rsidR="00DE04EA">
        <w:rPr>
          <w:rFonts w:ascii="Arial" w:hAnsi="Arial" w:cs="Arial"/>
          <w:sz w:val="24"/>
          <w:szCs w:val="24"/>
        </w:rPr>
        <w:t xml:space="preserve">made </w:t>
      </w:r>
      <w:r w:rsidR="00933F47" w:rsidRPr="00933F47">
        <w:rPr>
          <w:rFonts w:ascii="Arial" w:hAnsi="Arial" w:cs="Arial"/>
          <w:sz w:val="24"/>
          <w:szCs w:val="24"/>
        </w:rPr>
        <w:t xml:space="preserve">to </w:t>
      </w:r>
      <w:r w:rsidR="00933F47">
        <w:rPr>
          <w:rFonts w:ascii="Arial" w:hAnsi="Arial" w:cs="Arial"/>
          <w:sz w:val="24"/>
          <w:szCs w:val="24"/>
        </w:rPr>
        <w:t>deferral and variance (</w:t>
      </w:r>
      <w:r w:rsidR="00933F47" w:rsidRPr="00933F47">
        <w:rPr>
          <w:rFonts w:ascii="Arial" w:hAnsi="Arial" w:cs="Arial"/>
          <w:sz w:val="24"/>
          <w:szCs w:val="24"/>
        </w:rPr>
        <w:t>DVA</w:t>
      </w:r>
      <w:r w:rsidR="00933F47">
        <w:rPr>
          <w:rFonts w:ascii="Arial" w:hAnsi="Arial" w:cs="Arial"/>
          <w:sz w:val="24"/>
          <w:szCs w:val="24"/>
        </w:rPr>
        <w:t>)</w:t>
      </w:r>
      <w:r w:rsidR="00933F47" w:rsidRPr="00933F47">
        <w:rPr>
          <w:rFonts w:ascii="Arial" w:hAnsi="Arial" w:cs="Arial"/>
          <w:sz w:val="24"/>
          <w:szCs w:val="24"/>
        </w:rPr>
        <w:t xml:space="preserve"> balances that were previously approved by the OEB on a final basis.</w:t>
      </w:r>
      <w:r w:rsidR="00F25464">
        <w:rPr>
          <w:rFonts w:ascii="Arial" w:hAnsi="Arial" w:cs="Arial"/>
          <w:sz w:val="24"/>
          <w:szCs w:val="24"/>
        </w:rPr>
        <w:t xml:space="preserve"> Section </w:t>
      </w:r>
      <w:r w:rsidR="00F25464" w:rsidRPr="00F25464">
        <w:rPr>
          <w:rFonts w:ascii="Arial" w:hAnsi="Arial" w:cs="Arial"/>
          <w:sz w:val="24"/>
          <w:szCs w:val="24"/>
        </w:rPr>
        <w:t>3.2.6.3</w:t>
      </w:r>
      <w:r w:rsidR="00F25464">
        <w:rPr>
          <w:rFonts w:ascii="Arial" w:hAnsi="Arial" w:cs="Arial"/>
          <w:sz w:val="24"/>
          <w:szCs w:val="24"/>
        </w:rPr>
        <w:t xml:space="preserve"> also </w:t>
      </w:r>
      <w:r w:rsidR="00FF34C4">
        <w:rPr>
          <w:rFonts w:ascii="Arial" w:hAnsi="Arial" w:cs="Arial"/>
          <w:sz w:val="24"/>
          <w:szCs w:val="24"/>
        </w:rPr>
        <w:t>discusses</w:t>
      </w:r>
      <w:r w:rsidR="00320CFB">
        <w:rPr>
          <w:rFonts w:ascii="Arial" w:hAnsi="Arial" w:cs="Arial"/>
          <w:sz w:val="24"/>
          <w:szCs w:val="24"/>
        </w:rPr>
        <w:t xml:space="preserve"> f</w:t>
      </w:r>
      <w:r w:rsidR="00320CFB" w:rsidRPr="00320CFB">
        <w:rPr>
          <w:rFonts w:ascii="Arial" w:hAnsi="Arial" w:cs="Arial"/>
          <w:sz w:val="24"/>
          <w:szCs w:val="24"/>
        </w:rPr>
        <w:t xml:space="preserve">inal </w:t>
      </w:r>
      <w:r w:rsidR="00320CFB">
        <w:rPr>
          <w:rFonts w:ascii="Arial" w:hAnsi="Arial" w:cs="Arial"/>
          <w:sz w:val="24"/>
          <w:szCs w:val="24"/>
        </w:rPr>
        <w:t>d</w:t>
      </w:r>
      <w:r w:rsidR="00320CFB" w:rsidRPr="00320CFB">
        <w:rPr>
          <w:rFonts w:ascii="Arial" w:hAnsi="Arial" w:cs="Arial"/>
          <w:sz w:val="24"/>
          <w:szCs w:val="24"/>
        </w:rPr>
        <w:t xml:space="preserve">isposition </w:t>
      </w:r>
      <w:r w:rsidR="00320CFB">
        <w:rPr>
          <w:rFonts w:ascii="Arial" w:hAnsi="Arial" w:cs="Arial"/>
          <w:sz w:val="24"/>
          <w:szCs w:val="24"/>
        </w:rPr>
        <w:t>r</w:t>
      </w:r>
      <w:r w:rsidR="00320CFB" w:rsidRPr="00320CFB">
        <w:rPr>
          <w:rFonts w:ascii="Arial" w:hAnsi="Arial" w:cs="Arial"/>
          <w:sz w:val="24"/>
          <w:szCs w:val="24"/>
        </w:rPr>
        <w:t xml:space="preserve">equests after </w:t>
      </w:r>
      <w:r w:rsidR="008F2BC3">
        <w:rPr>
          <w:rFonts w:ascii="Arial" w:hAnsi="Arial" w:cs="Arial"/>
          <w:sz w:val="24"/>
          <w:szCs w:val="24"/>
        </w:rPr>
        <w:t xml:space="preserve">the </w:t>
      </w:r>
      <w:r w:rsidR="00320CFB">
        <w:rPr>
          <w:rFonts w:ascii="Arial" w:hAnsi="Arial" w:cs="Arial"/>
          <w:sz w:val="24"/>
          <w:szCs w:val="24"/>
        </w:rPr>
        <w:t>i</w:t>
      </w:r>
      <w:r w:rsidR="00320CFB" w:rsidRPr="00320CFB">
        <w:rPr>
          <w:rFonts w:ascii="Arial" w:hAnsi="Arial" w:cs="Arial"/>
          <w:sz w:val="24"/>
          <w:szCs w:val="24"/>
        </w:rPr>
        <w:t xml:space="preserve">mplementation of </w:t>
      </w:r>
      <w:r w:rsidR="005A0E5E">
        <w:rPr>
          <w:rFonts w:ascii="Arial" w:hAnsi="Arial" w:cs="Arial"/>
          <w:sz w:val="24"/>
          <w:szCs w:val="24"/>
        </w:rPr>
        <w:t xml:space="preserve">the </w:t>
      </w:r>
      <w:r w:rsidR="00320CFB" w:rsidRPr="00320CFB">
        <w:rPr>
          <w:rFonts w:ascii="Arial" w:hAnsi="Arial" w:cs="Arial"/>
          <w:sz w:val="24"/>
          <w:szCs w:val="24"/>
        </w:rPr>
        <w:t>Accounting Guidance</w:t>
      </w:r>
      <w:r w:rsidR="00320CFB">
        <w:rPr>
          <w:rFonts w:ascii="Arial" w:hAnsi="Arial" w:cs="Arial"/>
          <w:sz w:val="24"/>
          <w:szCs w:val="24"/>
        </w:rPr>
        <w:t>.</w:t>
      </w:r>
      <w:r w:rsidR="000D16D9">
        <w:rPr>
          <w:rStyle w:val="FootnoteReference"/>
          <w:rFonts w:ascii="Arial" w:hAnsi="Arial" w:cs="Arial"/>
          <w:sz w:val="24"/>
          <w:szCs w:val="24"/>
        </w:rPr>
        <w:footnoteReference w:id="2"/>
      </w:r>
    </w:p>
    <w:p w14:paraId="08D1F85A" w14:textId="77777777" w:rsidR="00184F92" w:rsidRDefault="00184F92" w:rsidP="007F3D40">
      <w:pPr>
        <w:pStyle w:val="ListParagraph"/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14:paraId="62CC2B81" w14:textId="1EBEBC35" w:rsidR="006954BB" w:rsidRDefault="006954BB" w:rsidP="007F3D40">
      <w:pPr>
        <w:pStyle w:val="ListParagraph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OEB staff also</w:t>
      </w:r>
      <w:r w:rsidR="00B6004B">
        <w:rPr>
          <w:rFonts w:ascii="Arial" w:hAnsi="Arial" w:cs="Arial"/>
          <w:sz w:val="24"/>
          <w:szCs w:val="24"/>
        </w:rPr>
        <w:t xml:space="preserve"> observes </w:t>
      </w:r>
      <w:r>
        <w:rPr>
          <w:rFonts w:ascii="Arial" w:hAnsi="Arial" w:cs="Arial"/>
          <w:sz w:val="24"/>
          <w:szCs w:val="24"/>
        </w:rPr>
        <w:t xml:space="preserve">that in Hydro One’s 2021 Custom IR Update proceeding, the OEB </w:t>
      </w:r>
      <w:r w:rsidR="00AA043C">
        <w:rPr>
          <w:rFonts w:ascii="Arial" w:hAnsi="Arial" w:cs="Arial"/>
          <w:sz w:val="24"/>
          <w:szCs w:val="24"/>
        </w:rPr>
        <w:t>made the following findings</w:t>
      </w:r>
      <w:r>
        <w:rPr>
          <w:rFonts w:ascii="Arial" w:hAnsi="Arial" w:cs="Arial"/>
          <w:sz w:val="24"/>
          <w:szCs w:val="24"/>
        </w:rPr>
        <w:t>:</w:t>
      </w:r>
      <w:r w:rsidR="00AA043C">
        <w:rPr>
          <w:rStyle w:val="FootnoteReference"/>
          <w:rFonts w:ascii="Arial" w:hAnsi="Arial" w:cs="Arial"/>
          <w:sz w:val="24"/>
          <w:szCs w:val="24"/>
        </w:rPr>
        <w:footnoteReference w:id="3"/>
      </w:r>
    </w:p>
    <w:p w14:paraId="3D2C0ADD" w14:textId="77777777" w:rsidR="006954BB" w:rsidRDefault="006954BB" w:rsidP="007F3D40">
      <w:pPr>
        <w:pStyle w:val="ListParagraph"/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14:paraId="6B6526A9" w14:textId="24F35E83" w:rsidR="006954BB" w:rsidRPr="00D05E72" w:rsidRDefault="008171DE" w:rsidP="007F3D40">
      <w:pPr>
        <w:pStyle w:val="ListParagraph"/>
        <w:spacing w:after="0" w:line="276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…T</w:t>
      </w:r>
      <w:r w:rsidRPr="008171DE">
        <w:rPr>
          <w:rFonts w:ascii="Arial" w:hAnsi="Arial" w:cs="Arial"/>
          <w:sz w:val="24"/>
          <w:szCs w:val="24"/>
        </w:rPr>
        <w:t>he OEB accepts Hydro One’s proposal to adopt the new Accounting Guidance in a modified manner until the OEB otherwise directs Hydro One.</w:t>
      </w:r>
      <w:r>
        <w:rPr>
          <w:rFonts w:ascii="Arial" w:hAnsi="Arial" w:cs="Arial"/>
          <w:sz w:val="24"/>
          <w:szCs w:val="24"/>
        </w:rPr>
        <w:t xml:space="preserve"> </w:t>
      </w:r>
      <w:r w:rsidR="006954BB" w:rsidRPr="00D05E72">
        <w:rPr>
          <w:rFonts w:ascii="Arial" w:hAnsi="Arial" w:cs="Arial"/>
          <w:sz w:val="24"/>
          <w:szCs w:val="24"/>
        </w:rPr>
        <w:t>The OEB notes Hydro One’s commitment to bring errors identified after disposing of the DVA balances on a final basis, if any, to the OEB’s attention (including any balances allocated to the Acquired rate zones). The OEB</w:t>
      </w:r>
      <w:r w:rsidR="006954BB" w:rsidRPr="00D05E72">
        <w:rPr>
          <w:rFonts w:ascii="Arial" w:hAnsi="Arial" w:cs="Arial"/>
          <w:sz w:val="24"/>
          <w:szCs w:val="24"/>
        </w:rPr>
        <w:t xml:space="preserve"> </w:t>
      </w:r>
      <w:r w:rsidR="006954BB" w:rsidRPr="00D05E72">
        <w:rPr>
          <w:rFonts w:ascii="Arial" w:hAnsi="Arial" w:cs="Arial"/>
          <w:sz w:val="24"/>
          <w:szCs w:val="24"/>
        </w:rPr>
        <w:t>further notes that any revisions proposed by Hydro One may be subject to the OEB’s October 31, 2019 letter regarding Adjustments to Correct for Errors in Electricity “Pass-Through” Variance Accounts After Disposition.</w:t>
      </w:r>
    </w:p>
    <w:p w14:paraId="1ACD4876" w14:textId="77777777" w:rsidR="006954BB" w:rsidRDefault="006954BB" w:rsidP="007F3D40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p w14:paraId="1D6B5EA7" w14:textId="29FC773D" w:rsidR="00EB3468" w:rsidRDefault="00EB3468" w:rsidP="007F3D40">
      <w:pPr>
        <w:pStyle w:val="ListParagraph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OEB staff notes that the following points </w:t>
      </w:r>
      <w:r w:rsidR="00EA078E">
        <w:rPr>
          <w:rFonts w:ascii="Arial" w:hAnsi="Arial" w:cs="Arial"/>
          <w:sz w:val="24"/>
          <w:szCs w:val="24"/>
        </w:rPr>
        <w:t xml:space="preserve">listed below </w:t>
      </w:r>
      <w:r>
        <w:rPr>
          <w:rFonts w:ascii="Arial" w:hAnsi="Arial" w:cs="Arial"/>
          <w:sz w:val="24"/>
          <w:szCs w:val="24"/>
        </w:rPr>
        <w:t xml:space="preserve">may involve </w:t>
      </w:r>
      <w:r w:rsidR="00C92D83">
        <w:rPr>
          <w:rFonts w:ascii="Arial" w:hAnsi="Arial" w:cs="Arial"/>
          <w:sz w:val="24"/>
          <w:szCs w:val="24"/>
        </w:rPr>
        <w:t>adjustments to previously approved balances</w:t>
      </w:r>
      <w:r>
        <w:rPr>
          <w:rFonts w:ascii="Arial" w:hAnsi="Arial" w:cs="Arial"/>
          <w:sz w:val="24"/>
          <w:szCs w:val="24"/>
        </w:rPr>
        <w:t>.</w:t>
      </w:r>
      <w:r w:rsidR="00771525">
        <w:rPr>
          <w:rFonts w:ascii="Arial" w:hAnsi="Arial" w:cs="Arial"/>
          <w:sz w:val="24"/>
          <w:szCs w:val="24"/>
        </w:rPr>
        <w:t xml:space="preserve"> OEB staff also has concerns regarding the </w:t>
      </w:r>
      <w:r w:rsidR="00141637">
        <w:rPr>
          <w:rFonts w:ascii="Arial" w:hAnsi="Arial" w:cs="Arial"/>
          <w:sz w:val="24"/>
          <w:szCs w:val="24"/>
        </w:rPr>
        <w:t>reclassifications made between Account 1588 and Account 1589 of $45.7 million.</w:t>
      </w:r>
      <w:r w:rsidR="000A53EF">
        <w:rPr>
          <w:rFonts w:ascii="Arial" w:hAnsi="Arial" w:cs="Arial"/>
          <w:sz w:val="24"/>
          <w:szCs w:val="24"/>
        </w:rPr>
        <w:t xml:space="preserve"> </w:t>
      </w:r>
      <w:r w:rsidR="001E4989">
        <w:rPr>
          <w:rFonts w:ascii="Arial" w:hAnsi="Arial" w:cs="Arial"/>
          <w:sz w:val="24"/>
          <w:szCs w:val="24"/>
        </w:rPr>
        <w:t xml:space="preserve">Finally, OEB staff notes that Hydro One did not discuss </w:t>
      </w:r>
      <w:r w:rsidR="007C53A6">
        <w:rPr>
          <w:rFonts w:ascii="Arial" w:hAnsi="Arial" w:cs="Arial"/>
          <w:sz w:val="24"/>
          <w:szCs w:val="24"/>
        </w:rPr>
        <w:t xml:space="preserve">in its application </w:t>
      </w:r>
      <w:r w:rsidR="001E4989">
        <w:rPr>
          <w:rFonts w:ascii="Arial" w:hAnsi="Arial" w:cs="Arial"/>
          <w:sz w:val="24"/>
          <w:szCs w:val="24"/>
        </w:rPr>
        <w:t>what type of review was done to adopt the new Accounting Guidance in</w:t>
      </w:r>
      <w:r w:rsidR="00CC78E3">
        <w:rPr>
          <w:rFonts w:ascii="Arial" w:hAnsi="Arial" w:cs="Arial"/>
          <w:sz w:val="24"/>
          <w:szCs w:val="24"/>
        </w:rPr>
        <w:t xml:space="preserve"> a </w:t>
      </w:r>
      <w:r w:rsidR="001E4989">
        <w:rPr>
          <w:rFonts w:ascii="Arial" w:hAnsi="Arial" w:cs="Arial"/>
          <w:sz w:val="24"/>
          <w:szCs w:val="24"/>
        </w:rPr>
        <w:t>modified manner.</w:t>
      </w:r>
    </w:p>
    <w:p w14:paraId="3639948F" w14:textId="77777777" w:rsidR="00B73F54" w:rsidRDefault="00B73F54" w:rsidP="007F3D40">
      <w:pPr>
        <w:pStyle w:val="ListParagraph"/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14:paraId="479CDDE4" w14:textId="564E460D" w:rsidR="008F2036" w:rsidRPr="003D4CD8" w:rsidRDefault="008F2036" w:rsidP="007F3D40">
      <w:pPr>
        <w:pStyle w:val="ListParagraph"/>
        <w:spacing w:after="0" w:line="276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3D4CD8">
        <w:rPr>
          <w:rFonts w:ascii="Arial" w:hAnsi="Arial" w:cs="Arial"/>
          <w:b/>
          <w:bCs/>
          <w:sz w:val="24"/>
          <w:szCs w:val="24"/>
        </w:rPr>
        <w:t>Questions:</w:t>
      </w:r>
    </w:p>
    <w:p w14:paraId="059A92D6" w14:textId="77777777" w:rsidR="00184F92" w:rsidRPr="006D7487" w:rsidRDefault="00184F92" w:rsidP="007F3D40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p w14:paraId="2100F136" w14:textId="06854FEB" w:rsidR="002D0BD2" w:rsidRDefault="00325BB0" w:rsidP="007F3D40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GA Analysis </w:t>
      </w:r>
      <w:proofErr w:type="spellStart"/>
      <w:r>
        <w:rPr>
          <w:rFonts w:ascii="Arial" w:hAnsi="Arial" w:cs="Arial"/>
          <w:sz w:val="24"/>
          <w:szCs w:val="24"/>
        </w:rPr>
        <w:t>Workform</w:t>
      </w:r>
      <w:proofErr w:type="spellEnd"/>
      <w:r w:rsidR="00014674">
        <w:rPr>
          <w:rFonts w:ascii="Arial" w:hAnsi="Arial" w:cs="Arial"/>
          <w:sz w:val="24"/>
          <w:szCs w:val="24"/>
        </w:rPr>
        <w:t xml:space="preserve"> (A-4-1-4)</w:t>
      </w:r>
      <w:r w:rsidR="007504CB">
        <w:rPr>
          <w:rFonts w:ascii="Arial" w:hAnsi="Arial" w:cs="Arial"/>
          <w:sz w:val="24"/>
          <w:szCs w:val="24"/>
        </w:rPr>
        <w:t xml:space="preserve">, Tab GA 2021, a credit of </w:t>
      </w:r>
      <w:r w:rsidR="007504CB" w:rsidRPr="007504CB">
        <w:rPr>
          <w:rFonts w:ascii="Arial" w:hAnsi="Arial" w:cs="Arial"/>
          <w:sz w:val="24"/>
          <w:szCs w:val="24"/>
        </w:rPr>
        <w:t>$3,576,971</w:t>
      </w:r>
      <w:r w:rsidR="007504CB">
        <w:rPr>
          <w:rFonts w:ascii="Arial" w:hAnsi="Arial" w:cs="Arial"/>
          <w:sz w:val="24"/>
          <w:szCs w:val="24"/>
        </w:rPr>
        <w:t xml:space="preserve"> is recorded </w:t>
      </w:r>
      <w:r w:rsidR="00B97CBD">
        <w:rPr>
          <w:rFonts w:ascii="Arial" w:hAnsi="Arial" w:cs="Arial"/>
          <w:sz w:val="24"/>
          <w:szCs w:val="24"/>
        </w:rPr>
        <w:t>which relates to</w:t>
      </w:r>
      <w:r w:rsidR="00E1498D">
        <w:rPr>
          <w:rFonts w:ascii="Arial" w:hAnsi="Arial" w:cs="Arial"/>
          <w:sz w:val="24"/>
          <w:szCs w:val="24"/>
        </w:rPr>
        <w:t xml:space="preserve"> an</w:t>
      </w:r>
      <w:r w:rsidR="00B97CBD">
        <w:rPr>
          <w:rFonts w:ascii="Arial" w:hAnsi="Arial" w:cs="Arial"/>
          <w:sz w:val="24"/>
          <w:szCs w:val="24"/>
        </w:rPr>
        <w:t xml:space="preserve"> “e</w:t>
      </w:r>
      <w:r w:rsidR="007504CB" w:rsidRPr="007504CB">
        <w:rPr>
          <w:rFonts w:ascii="Arial" w:hAnsi="Arial" w:cs="Arial"/>
          <w:sz w:val="24"/>
          <w:szCs w:val="24"/>
        </w:rPr>
        <w:t>mbedded LDC RPP Settlement true-up for Dec 2020 booked in 2021 for the period before H1 adopted the new accounting guidance</w:t>
      </w:r>
      <w:r w:rsidR="00B97CBD">
        <w:rPr>
          <w:rFonts w:ascii="Arial" w:hAnsi="Arial" w:cs="Arial"/>
          <w:sz w:val="24"/>
          <w:szCs w:val="24"/>
        </w:rPr>
        <w:t xml:space="preserve">.” </w:t>
      </w:r>
    </w:p>
    <w:p w14:paraId="3C3276D0" w14:textId="77777777" w:rsidR="002D0BD2" w:rsidRPr="002D0BD2" w:rsidRDefault="002D0BD2" w:rsidP="007F3D40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p w14:paraId="43374E28" w14:textId="4EED4BAD" w:rsidR="000B668A" w:rsidRDefault="002D0BD2" w:rsidP="007F3D40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OEB staff notes that </w:t>
      </w:r>
      <w:r w:rsidR="00704664">
        <w:rPr>
          <w:rFonts w:ascii="Arial" w:hAnsi="Arial" w:cs="Arial"/>
          <w:sz w:val="24"/>
          <w:szCs w:val="24"/>
        </w:rPr>
        <w:t xml:space="preserve">an offsetting </w:t>
      </w:r>
      <w:r w:rsidR="00B97CBD">
        <w:rPr>
          <w:rFonts w:ascii="Arial" w:hAnsi="Arial" w:cs="Arial"/>
          <w:sz w:val="24"/>
          <w:szCs w:val="24"/>
        </w:rPr>
        <w:t xml:space="preserve">amount is missing from </w:t>
      </w:r>
      <w:r w:rsidR="007C1CF1">
        <w:rPr>
          <w:rFonts w:ascii="Arial" w:hAnsi="Arial" w:cs="Arial"/>
          <w:sz w:val="24"/>
          <w:szCs w:val="24"/>
        </w:rPr>
        <w:t xml:space="preserve">Tab GA 2020 of the Hydro One GA Analysis </w:t>
      </w:r>
      <w:proofErr w:type="spellStart"/>
      <w:r w:rsidR="007C1CF1">
        <w:rPr>
          <w:rFonts w:ascii="Arial" w:hAnsi="Arial" w:cs="Arial"/>
          <w:sz w:val="24"/>
          <w:szCs w:val="24"/>
        </w:rPr>
        <w:t>Workform</w:t>
      </w:r>
      <w:proofErr w:type="spellEnd"/>
      <w:r w:rsidR="007C1CF1">
        <w:rPr>
          <w:rFonts w:ascii="Arial" w:hAnsi="Arial" w:cs="Arial"/>
          <w:sz w:val="24"/>
          <w:szCs w:val="24"/>
        </w:rPr>
        <w:t xml:space="preserve"> filed in the 2023 Custom IR proceeding </w:t>
      </w:r>
      <w:r w:rsidR="004512E4" w:rsidRPr="004512E4">
        <w:rPr>
          <w:rFonts w:ascii="Arial" w:hAnsi="Arial" w:cs="Arial"/>
          <w:sz w:val="24"/>
          <w:szCs w:val="24"/>
        </w:rPr>
        <w:t>EB-2021-0110</w:t>
      </w:r>
      <w:r w:rsidR="004512E4" w:rsidRPr="004512E4">
        <w:rPr>
          <w:rFonts w:ascii="Arial" w:hAnsi="Arial" w:cs="Arial"/>
          <w:sz w:val="24"/>
          <w:szCs w:val="24"/>
        </w:rPr>
        <w:t xml:space="preserve"> </w:t>
      </w:r>
      <w:r w:rsidR="007C1CF1">
        <w:rPr>
          <w:rFonts w:ascii="Arial" w:hAnsi="Arial" w:cs="Arial"/>
          <w:sz w:val="24"/>
          <w:szCs w:val="24"/>
        </w:rPr>
        <w:t>(</w:t>
      </w:r>
      <w:r w:rsidR="00B671C2" w:rsidRPr="00B671C2">
        <w:rPr>
          <w:rFonts w:ascii="Arial" w:hAnsi="Arial" w:cs="Arial"/>
          <w:sz w:val="24"/>
          <w:szCs w:val="24"/>
        </w:rPr>
        <w:t>HONI_I-01-G-Staff-312-01_20211129</w:t>
      </w:r>
      <w:r w:rsidR="007C1CF1">
        <w:rPr>
          <w:rFonts w:ascii="Arial" w:hAnsi="Arial" w:cs="Arial"/>
          <w:sz w:val="24"/>
          <w:szCs w:val="24"/>
        </w:rPr>
        <w:t>).</w:t>
      </w:r>
    </w:p>
    <w:p w14:paraId="0BE8AE76" w14:textId="77777777" w:rsidR="000B668A" w:rsidRDefault="000B668A" w:rsidP="007F3D40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p w14:paraId="2C6B863B" w14:textId="303D0576" w:rsidR="0043280F" w:rsidRDefault="002D0BD2" w:rsidP="007F3D40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explain whether Hydro One is proposing in the current proceeding to adjust 2020 balances that were previously approved on a final basis</w:t>
      </w:r>
      <w:r w:rsidR="000B668A">
        <w:rPr>
          <w:rFonts w:ascii="Arial" w:hAnsi="Arial" w:cs="Arial"/>
          <w:sz w:val="24"/>
          <w:szCs w:val="24"/>
        </w:rPr>
        <w:t xml:space="preserve">. </w:t>
      </w:r>
    </w:p>
    <w:p w14:paraId="0992D4FA" w14:textId="77777777" w:rsidR="007C1CF1" w:rsidRPr="0043280F" w:rsidRDefault="007C1CF1" w:rsidP="007F3D40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p w14:paraId="478AFCB2" w14:textId="75287F1D" w:rsidR="00BD156A" w:rsidRDefault="00BD156A" w:rsidP="007F3D40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the GA Analysis </w:t>
      </w:r>
      <w:proofErr w:type="spellStart"/>
      <w:r>
        <w:rPr>
          <w:rFonts w:ascii="Arial" w:hAnsi="Arial" w:cs="Arial"/>
          <w:sz w:val="24"/>
          <w:szCs w:val="24"/>
        </w:rPr>
        <w:t>Workform</w:t>
      </w:r>
      <w:proofErr w:type="spellEnd"/>
      <w:r>
        <w:rPr>
          <w:rFonts w:ascii="Arial" w:hAnsi="Arial" w:cs="Arial"/>
          <w:sz w:val="24"/>
          <w:szCs w:val="24"/>
        </w:rPr>
        <w:t xml:space="preserve"> (A-4-1-4), Tab GA 2021</w:t>
      </w:r>
      <w:r>
        <w:rPr>
          <w:rFonts w:ascii="Arial" w:hAnsi="Arial" w:cs="Arial"/>
          <w:sz w:val="24"/>
          <w:szCs w:val="24"/>
        </w:rPr>
        <w:t xml:space="preserve">, a credit of </w:t>
      </w:r>
      <w:r w:rsidRPr="00BD156A">
        <w:rPr>
          <w:rFonts w:ascii="Arial" w:hAnsi="Arial" w:cs="Arial"/>
          <w:sz w:val="24"/>
          <w:szCs w:val="24"/>
        </w:rPr>
        <w:t>$2,718,746</w:t>
      </w:r>
      <w:r>
        <w:rPr>
          <w:rFonts w:ascii="Arial" w:hAnsi="Arial" w:cs="Arial"/>
          <w:sz w:val="24"/>
          <w:szCs w:val="24"/>
        </w:rPr>
        <w:t xml:space="preserve"> is recorded, relating to the “</w:t>
      </w:r>
      <w:r w:rsidRPr="00BD156A">
        <w:rPr>
          <w:rFonts w:ascii="Arial" w:hAnsi="Arial" w:cs="Arial"/>
          <w:sz w:val="24"/>
          <w:szCs w:val="24"/>
        </w:rPr>
        <w:t>Peterborough and Orillia Power migration balance</w:t>
      </w:r>
      <w:r>
        <w:rPr>
          <w:rFonts w:ascii="Arial" w:hAnsi="Arial" w:cs="Arial"/>
          <w:sz w:val="24"/>
          <w:szCs w:val="24"/>
        </w:rPr>
        <w:t>.”</w:t>
      </w:r>
    </w:p>
    <w:p w14:paraId="573238C1" w14:textId="77777777" w:rsidR="00BD156A" w:rsidRDefault="00BD156A" w:rsidP="007F3D40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p w14:paraId="6B54DAD9" w14:textId="5286FE57" w:rsidR="00BD156A" w:rsidRDefault="005A6C6F" w:rsidP="007F3D40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explain </w:t>
      </w:r>
      <w:r w:rsidR="00171B60">
        <w:rPr>
          <w:rFonts w:ascii="Arial" w:hAnsi="Arial" w:cs="Arial"/>
          <w:sz w:val="24"/>
          <w:szCs w:val="24"/>
        </w:rPr>
        <w:t xml:space="preserve">this “migration balance” and </w:t>
      </w:r>
      <w:r>
        <w:rPr>
          <w:rFonts w:ascii="Arial" w:hAnsi="Arial" w:cs="Arial"/>
          <w:sz w:val="24"/>
          <w:szCs w:val="24"/>
        </w:rPr>
        <w:t xml:space="preserve">whether Hydro One is proposing in the current proceeding to adjust </w:t>
      </w:r>
      <w:r>
        <w:rPr>
          <w:rFonts w:ascii="Arial" w:hAnsi="Arial" w:cs="Arial"/>
          <w:sz w:val="24"/>
          <w:szCs w:val="24"/>
        </w:rPr>
        <w:t xml:space="preserve">historical </w:t>
      </w:r>
      <w:r>
        <w:rPr>
          <w:rFonts w:ascii="Arial" w:hAnsi="Arial" w:cs="Arial"/>
          <w:sz w:val="24"/>
          <w:szCs w:val="24"/>
        </w:rPr>
        <w:t xml:space="preserve">balances that were previously approved on a final basis. </w:t>
      </w:r>
    </w:p>
    <w:p w14:paraId="1BB3ACE4" w14:textId="77777777" w:rsidR="00BD156A" w:rsidRDefault="00BD156A" w:rsidP="007F3D40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p w14:paraId="4D26261C" w14:textId="43845A5A" w:rsidR="007D34EB" w:rsidRDefault="007D34EB" w:rsidP="007F3D40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GA Analysis </w:t>
      </w:r>
      <w:proofErr w:type="spellStart"/>
      <w:r>
        <w:rPr>
          <w:rFonts w:ascii="Arial" w:hAnsi="Arial" w:cs="Arial"/>
          <w:sz w:val="24"/>
          <w:szCs w:val="24"/>
        </w:rPr>
        <w:t>Workform</w:t>
      </w:r>
      <w:proofErr w:type="spellEnd"/>
      <w:r>
        <w:rPr>
          <w:rFonts w:ascii="Arial" w:hAnsi="Arial" w:cs="Arial"/>
          <w:sz w:val="24"/>
          <w:szCs w:val="24"/>
        </w:rPr>
        <w:t xml:space="preserve"> (A-4-1-4), Tab GA 2022, a debit of </w:t>
      </w:r>
      <w:r w:rsidRPr="007D34EB">
        <w:rPr>
          <w:rFonts w:ascii="Arial" w:hAnsi="Arial" w:cs="Arial"/>
          <w:sz w:val="24"/>
          <w:szCs w:val="24"/>
        </w:rPr>
        <w:t>$3,178,045</w:t>
      </w:r>
      <w:r>
        <w:rPr>
          <w:rFonts w:ascii="Arial" w:hAnsi="Arial" w:cs="Arial"/>
          <w:sz w:val="24"/>
          <w:szCs w:val="24"/>
        </w:rPr>
        <w:t xml:space="preserve"> is recorded which relates to a “p</w:t>
      </w:r>
      <w:r w:rsidRPr="007D34EB">
        <w:rPr>
          <w:rFonts w:ascii="Arial" w:hAnsi="Arial" w:cs="Arial"/>
          <w:sz w:val="24"/>
          <w:szCs w:val="24"/>
        </w:rPr>
        <w:t>ricing calculation error in the 2021 GA Rate Rider setup resulted in $3.17M GA liability to be disposed in future</w:t>
      </w:r>
      <w:r>
        <w:rPr>
          <w:rFonts w:ascii="Arial" w:hAnsi="Arial" w:cs="Arial"/>
          <w:sz w:val="24"/>
          <w:szCs w:val="24"/>
        </w:rPr>
        <w:t>.”</w:t>
      </w:r>
    </w:p>
    <w:p w14:paraId="383537E1" w14:textId="1E2A059D" w:rsidR="0043280F" w:rsidRPr="0043280F" w:rsidRDefault="007D34EB" w:rsidP="007F3D40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  <w:r w:rsidRPr="007D34EB">
        <w:rPr>
          <w:rFonts w:ascii="Arial" w:hAnsi="Arial" w:cs="Arial"/>
          <w:sz w:val="24"/>
          <w:szCs w:val="24"/>
        </w:rPr>
        <w:tab/>
      </w:r>
      <w:r w:rsidRPr="007D34EB">
        <w:rPr>
          <w:rFonts w:ascii="Arial" w:hAnsi="Arial" w:cs="Arial"/>
          <w:sz w:val="24"/>
          <w:szCs w:val="24"/>
        </w:rPr>
        <w:tab/>
      </w:r>
    </w:p>
    <w:p w14:paraId="49F5377D" w14:textId="7BA8C507" w:rsidR="008E6EAC" w:rsidRDefault="007D34EB" w:rsidP="007F3D40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explain whether Hydro One is proposing </w:t>
      </w:r>
      <w:r w:rsidR="00F9256C">
        <w:rPr>
          <w:rFonts w:ascii="Arial" w:hAnsi="Arial" w:cs="Arial"/>
          <w:sz w:val="24"/>
          <w:szCs w:val="24"/>
        </w:rPr>
        <w:t xml:space="preserve">in the current proceeding </w:t>
      </w:r>
      <w:r>
        <w:rPr>
          <w:rFonts w:ascii="Arial" w:hAnsi="Arial" w:cs="Arial"/>
          <w:sz w:val="24"/>
          <w:szCs w:val="24"/>
        </w:rPr>
        <w:t xml:space="preserve">to adjust </w:t>
      </w:r>
      <w:proofErr w:type="gramStart"/>
      <w:r>
        <w:rPr>
          <w:rFonts w:ascii="Arial" w:hAnsi="Arial" w:cs="Arial"/>
          <w:sz w:val="24"/>
          <w:szCs w:val="24"/>
        </w:rPr>
        <w:t>the Account</w:t>
      </w:r>
      <w:proofErr w:type="gramEnd"/>
      <w:r>
        <w:rPr>
          <w:rFonts w:ascii="Arial" w:hAnsi="Arial" w:cs="Arial"/>
          <w:sz w:val="24"/>
          <w:szCs w:val="24"/>
        </w:rPr>
        <w:t xml:space="preserve"> 1589 </w:t>
      </w:r>
      <w:r w:rsidR="00C972E4">
        <w:rPr>
          <w:rFonts w:ascii="Arial" w:hAnsi="Arial" w:cs="Arial"/>
          <w:sz w:val="24"/>
          <w:szCs w:val="24"/>
        </w:rPr>
        <w:t xml:space="preserve">December 31, 2019 </w:t>
      </w:r>
      <w:r>
        <w:rPr>
          <w:rFonts w:ascii="Arial" w:hAnsi="Arial" w:cs="Arial"/>
          <w:sz w:val="24"/>
          <w:szCs w:val="24"/>
        </w:rPr>
        <w:t xml:space="preserve">balance cleared in its 2021 Custom IR Update </w:t>
      </w:r>
      <w:r w:rsidR="001757E3" w:rsidRPr="001757E3">
        <w:rPr>
          <w:rFonts w:ascii="Arial" w:hAnsi="Arial" w:cs="Arial"/>
          <w:sz w:val="24"/>
          <w:szCs w:val="24"/>
        </w:rPr>
        <w:t>EB-2020-0030</w:t>
      </w:r>
      <w:r w:rsidR="001757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proceeding</w:t>
      </w:r>
      <w:r w:rsidR="00DF25EF">
        <w:rPr>
          <w:rFonts w:ascii="Arial" w:hAnsi="Arial" w:cs="Arial"/>
          <w:sz w:val="24"/>
          <w:szCs w:val="24"/>
        </w:rPr>
        <w:t>.</w:t>
      </w:r>
      <w:r w:rsidR="00C972E4">
        <w:rPr>
          <w:rFonts w:ascii="Arial" w:hAnsi="Arial" w:cs="Arial"/>
          <w:sz w:val="24"/>
          <w:szCs w:val="24"/>
        </w:rPr>
        <w:t xml:space="preserve"> </w:t>
      </w:r>
      <w:r w:rsidR="006E34FF">
        <w:rPr>
          <w:rFonts w:ascii="Arial" w:hAnsi="Arial" w:cs="Arial"/>
          <w:sz w:val="24"/>
          <w:szCs w:val="24"/>
        </w:rPr>
        <w:t xml:space="preserve">A </w:t>
      </w:r>
      <w:r w:rsidR="00C972E4">
        <w:rPr>
          <w:rFonts w:ascii="Arial" w:hAnsi="Arial" w:cs="Arial"/>
          <w:sz w:val="24"/>
          <w:szCs w:val="24"/>
        </w:rPr>
        <w:t>credit of $27.4 million</w:t>
      </w:r>
      <w:r w:rsidR="006E34FF">
        <w:rPr>
          <w:rFonts w:ascii="Arial" w:hAnsi="Arial" w:cs="Arial"/>
          <w:sz w:val="24"/>
          <w:szCs w:val="24"/>
        </w:rPr>
        <w:t xml:space="preserve"> in Account 1589 was cleared</w:t>
      </w:r>
      <w:r w:rsidR="00C972E4">
        <w:rPr>
          <w:rFonts w:ascii="Arial" w:hAnsi="Arial" w:cs="Arial"/>
          <w:sz w:val="24"/>
          <w:szCs w:val="24"/>
        </w:rPr>
        <w:t xml:space="preserve">, </w:t>
      </w:r>
      <w:r w:rsidR="00DF25EF">
        <w:rPr>
          <w:rFonts w:ascii="Arial" w:hAnsi="Arial" w:cs="Arial"/>
          <w:sz w:val="24"/>
          <w:szCs w:val="24"/>
        </w:rPr>
        <w:t xml:space="preserve">which </w:t>
      </w:r>
      <w:r w:rsidR="00C972E4">
        <w:rPr>
          <w:rFonts w:ascii="Arial" w:hAnsi="Arial" w:cs="Arial"/>
          <w:sz w:val="24"/>
          <w:szCs w:val="24"/>
        </w:rPr>
        <w:t xml:space="preserve">was </w:t>
      </w:r>
      <w:r w:rsidR="008A76D0">
        <w:rPr>
          <w:rFonts w:ascii="Arial" w:hAnsi="Arial" w:cs="Arial"/>
          <w:sz w:val="24"/>
          <w:szCs w:val="24"/>
        </w:rPr>
        <w:t xml:space="preserve">previously approved </w:t>
      </w:r>
      <w:r w:rsidR="00C972E4">
        <w:rPr>
          <w:rFonts w:ascii="Arial" w:hAnsi="Arial" w:cs="Arial"/>
          <w:sz w:val="24"/>
          <w:szCs w:val="24"/>
        </w:rPr>
        <w:t>on a final basis.</w:t>
      </w:r>
      <w:r w:rsidR="004279EC">
        <w:rPr>
          <w:rFonts w:ascii="Arial" w:hAnsi="Arial" w:cs="Arial"/>
          <w:sz w:val="24"/>
          <w:szCs w:val="24"/>
        </w:rPr>
        <w:t xml:space="preserve"> </w:t>
      </w:r>
    </w:p>
    <w:p w14:paraId="7809FF51" w14:textId="711C0232" w:rsidR="00FE6656" w:rsidRDefault="00AE574C" w:rsidP="007F3D40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A7AE3">
        <w:rPr>
          <w:rFonts w:ascii="Arial" w:hAnsi="Arial" w:cs="Arial"/>
          <w:sz w:val="24"/>
          <w:szCs w:val="24"/>
        </w:rPr>
        <w:t>Alternatively, please explain whether Hydro One is proposing to be made whole for this error when Account 1595 (2021) is requested for clearance in a future rate application.</w:t>
      </w:r>
      <w:r w:rsidR="00DC670F" w:rsidRPr="006A7AE3">
        <w:rPr>
          <w:rFonts w:ascii="Arial" w:hAnsi="Arial" w:cs="Arial"/>
          <w:sz w:val="24"/>
          <w:szCs w:val="24"/>
        </w:rPr>
        <w:t xml:space="preserve"> </w:t>
      </w:r>
    </w:p>
    <w:p w14:paraId="2ED13C50" w14:textId="77777777" w:rsidR="00AD0B6F" w:rsidRPr="006A7AE3" w:rsidRDefault="00AD0B6F" w:rsidP="007F3D40">
      <w:pPr>
        <w:pStyle w:val="ListParagraph"/>
        <w:spacing w:after="0" w:line="276" w:lineRule="auto"/>
        <w:ind w:left="1440"/>
        <w:rPr>
          <w:rFonts w:ascii="Arial" w:hAnsi="Arial" w:cs="Arial"/>
          <w:sz w:val="24"/>
          <w:szCs w:val="24"/>
        </w:rPr>
      </w:pPr>
    </w:p>
    <w:p w14:paraId="0C32B973" w14:textId="3FB210C2" w:rsidR="00073F6D" w:rsidRDefault="00073F6D" w:rsidP="007F3D40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C6833">
        <w:rPr>
          <w:rFonts w:ascii="Arial" w:hAnsi="Arial" w:cs="Arial"/>
          <w:sz w:val="24"/>
          <w:szCs w:val="24"/>
        </w:rPr>
        <w:t>In the</w:t>
      </w:r>
      <w:r w:rsidR="0032208B">
        <w:rPr>
          <w:rFonts w:ascii="Arial" w:hAnsi="Arial" w:cs="Arial"/>
          <w:sz w:val="24"/>
          <w:szCs w:val="24"/>
        </w:rPr>
        <w:t xml:space="preserve"> current</w:t>
      </w:r>
      <w:r w:rsidRPr="00FC6833">
        <w:rPr>
          <w:rFonts w:ascii="Arial" w:hAnsi="Arial" w:cs="Arial"/>
          <w:sz w:val="24"/>
          <w:szCs w:val="24"/>
        </w:rPr>
        <w:t xml:space="preserve"> application,</w:t>
      </w:r>
      <w:r w:rsidR="00FC6833" w:rsidRPr="00FC6833">
        <w:rPr>
          <w:rFonts w:ascii="Arial" w:hAnsi="Arial" w:cs="Arial"/>
          <w:sz w:val="24"/>
          <w:szCs w:val="24"/>
        </w:rPr>
        <w:t xml:space="preserve"> Hydro One stated that “</w:t>
      </w:r>
      <w:r w:rsidR="00FC6833" w:rsidRPr="00FC6833">
        <w:rPr>
          <w:rFonts w:ascii="Arial" w:hAnsi="Arial" w:cs="Arial"/>
          <w:sz w:val="24"/>
          <w:szCs w:val="24"/>
        </w:rPr>
        <w:t>it has not made adjustments to the 2020 account balances that were</w:t>
      </w:r>
      <w:r w:rsidR="00FC6833" w:rsidRPr="00FC6833">
        <w:rPr>
          <w:rFonts w:ascii="Arial" w:hAnsi="Arial" w:cs="Arial"/>
          <w:sz w:val="24"/>
          <w:szCs w:val="24"/>
        </w:rPr>
        <w:t xml:space="preserve"> </w:t>
      </w:r>
      <w:r w:rsidR="00FC6833" w:rsidRPr="00FC6833">
        <w:rPr>
          <w:rFonts w:ascii="Arial" w:hAnsi="Arial" w:cs="Arial"/>
          <w:sz w:val="24"/>
          <w:szCs w:val="24"/>
        </w:rPr>
        <w:t>previously approved by the OEB for disposition on a final basis</w:t>
      </w:r>
      <w:r w:rsidR="00FC6833">
        <w:rPr>
          <w:rFonts w:ascii="Arial" w:hAnsi="Arial" w:cs="Arial"/>
          <w:sz w:val="24"/>
          <w:szCs w:val="24"/>
        </w:rPr>
        <w:t>.”</w:t>
      </w:r>
      <w:r w:rsidR="00411862">
        <w:rPr>
          <w:rStyle w:val="FootnoteReference"/>
          <w:rFonts w:ascii="Arial" w:hAnsi="Arial" w:cs="Arial"/>
          <w:sz w:val="24"/>
          <w:szCs w:val="24"/>
        </w:rPr>
        <w:footnoteReference w:id="4"/>
      </w:r>
    </w:p>
    <w:p w14:paraId="6E0197E0" w14:textId="77777777" w:rsidR="004C41A4" w:rsidRDefault="004C41A4" w:rsidP="007F3D40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p w14:paraId="3D3016F4" w14:textId="2AF7C57C" w:rsidR="004C41A4" w:rsidRPr="00FC6833" w:rsidRDefault="004C41A4" w:rsidP="007F3D40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explain whether </w:t>
      </w:r>
      <w:r w:rsidR="00346F4F">
        <w:rPr>
          <w:rFonts w:ascii="Arial" w:hAnsi="Arial" w:cs="Arial"/>
          <w:sz w:val="24"/>
          <w:szCs w:val="24"/>
        </w:rPr>
        <w:t xml:space="preserve">this statement remains true and whether </w:t>
      </w:r>
      <w:r>
        <w:rPr>
          <w:rFonts w:ascii="Arial" w:hAnsi="Arial" w:cs="Arial"/>
          <w:sz w:val="24"/>
          <w:szCs w:val="24"/>
        </w:rPr>
        <w:t>Hydro One has made adjustments to any other account balances that were approved for disposition on a final basis.</w:t>
      </w:r>
    </w:p>
    <w:p w14:paraId="0D70F22F" w14:textId="77777777" w:rsidR="00FC6833" w:rsidRDefault="00FC6833" w:rsidP="007F3D40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p w14:paraId="2CAA24EF" w14:textId="6AEC7433" w:rsidR="00AD0B6F" w:rsidRDefault="00AD0B6F" w:rsidP="007F3D40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explain in more detail </w:t>
      </w:r>
      <w:r w:rsidRPr="008E6EAC">
        <w:rPr>
          <w:rFonts w:ascii="Arial" w:hAnsi="Arial" w:cs="Arial"/>
          <w:sz w:val="24"/>
          <w:szCs w:val="24"/>
        </w:rPr>
        <w:t xml:space="preserve">the nature of the </w:t>
      </w:r>
      <w:r>
        <w:rPr>
          <w:rFonts w:ascii="Arial" w:hAnsi="Arial" w:cs="Arial"/>
          <w:sz w:val="24"/>
          <w:szCs w:val="24"/>
        </w:rPr>
        <w:t xml:space="preserve">2021 and 2022 </w:t>
      </w:r>
      <w:r w:rsidRPr="008E6EAC">
        <w:rPr>
          <w:rFonts w:ascii="Arial" w:hAnsi="Arial" w:cs="Arial"/>
          <w:sz w:val="24"/>
          <w:szCs w:val="24"/>
        </w:rPr>
        <w:t>reclassifications made in “Table 8 - Reclassification Adjustments for Hydro One Distribution’s Embedded Distributors ($M)” of $45.7 million</w:t>
      </w:r>
      <w:r>
        <w:rPr>
          <w:rFonts w:ascii="Arial" w:hAnsi="Arial" w:cs="Arial"/>
          <w:sz w:val="24"/>
          <w:szCs w:val="24"/>
        </w:rPr>
        <w:t>, including whether the following balances have been impacted:</w:t>
      </w:r>
    </w:p>
    <w:p w14:paraId="1657B646" w14:textId="77777777" w:rsidR="00AD0B6F" w:rsidRDefault="00AD0B6F" w:rsidP="007F3D40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 or earlier balances</w:t>
      </w:r>
    </w:p>
    <w:p w14:paraId="3DF85FEA" w14:textId="77777777" w:rsidR="00AD0B6F" w:rsidRDefault="00AD0B6F" w:rsidP="007F3D40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E6537">
        <w:rPr>
          <w:rFonts w:ascii="Arial" w:hAnsi="Arial" w:cs="Arial"/>
          <w:sz w:val="24"/>
          <w:szCs w:val="24"/>
        </w:rPr>
        <w:t>Any balances relating to Orillia or Peterborough</w:t>
      </w:r>
      <w:r>
        <w:rPr>
          <w:rFonts w:ascii="Arial" w:hAnsi="Arial" w:cs="Arial"/>
          <w:sz w:val="24"/>
          <w:szCs w:val="24"/>
        </w:rPr>
        <w:t xml:space="preserve">, </w:t>
      </w:r>
      <w:r w:rsidRPr="009E6537">
        <w:rPr>
          <w:rFonts w:ascii="Arial" w:hAnsi="Arial" w:cs="Arial"/>
          <w:sz w:val="24"/>
          <w:szCs w:val="24"/>
        </w:rPr>
        <w:t>despite Hydro One’s statement that th</w:t>
      </w:r>
      <w:r>
        <w:rPr>
          <w:rFonts w:ascii="Arial" w:hAnsi="Arial" w:cs="Arial"/>
          <w:sz w:val="24"/>
          <w:szCs w:val="24"/>
        </w:rPr>
        <w:t xml:space="preserve">ese </w:t>
      </w:r>
      <w:r w:rsidRPr="009E6537">
        <w:rPr>
          <w:rFonts w:ascii="Arial" w:hAnsi="Arial" w:cs="Arial"/>
          <w:sz w:val="24"/>
          <w:szCs w:val="24"/>
        </w:rPr>
        <w:t>reclassification of costs “do not impact the Account 1588 and Account 1589 balances for Orillia RZ and Peterborough RZ</w:t>
      </w:r>
      <w:r>
        <w:rPr>
          <w:rFonts w:ascii="Arial" w:hAnsi="Arial" w:cs="Arial"/>
          <w:sz w:val="24"/>
          <w:szCs w:val="24"/>
        </w:rPr>
        <w:t>.”</w:t>
      </w:r>
      <w:r>
        <w:rPr>
          <w:rStyle w:val="FootnoteReference"/>
          <w:rFonts w:ascii="Arial" w:hAnsi="Arial" w:cs="Arial"/>
          <w:sz w:val="24"/>
          <w:szCs w:val="24"/>
        </w:rPr>
        <w:footnoteReference w:id="5"/>
      </w:r>
    </w:p>
    <w:p w14:paraId="7C846E98" w14:textId="77777777" w:rsidR="00AD0B6F" w:rsidRDefault="00AD0B6F" w:rsidP="007F3D40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p w14:paraId="7F93AE35" w14:textId="77777777" w:rsidR="00AD0B6F" w:rsidRDefault="00AD0B6F" w:rsidP="007F3D40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777CBA">
        <w:rPr>
          <w:rFonts w:ascii="Arial" w:hAnsi="Arial" w:cs="Arial"/>
          <w:sz w:val="24"/>
          <w:szCs w:val="24"/>
        </w:rPr>
        <w:t>Please explain whether the invoices issued by Hydro One to its embedded distributors were incorrect.</w:t>
      </w:r>
    </w:p>
    <w:p w14:paraId="13E9A00B" w14:textId="77777777" w:rsidR="00F25464" w:rsidRDefault="00F25464" w:rsidP="007F3D40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p w14:paraId="06958B69" w14:textId="00F7AC44" w:rsidR="00F25464" w:rsidRDefault="0022618C" w:rsidP="007F3D40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Upon </w:t>
      </w:r>
      <w:r w:rsidRPr="0022618C">
        <w:rPr>
          <w:rFonts w:ascii="Arial" w:hAnsi="Arial" w:cs="Arial"/>
          <w:sz w:val="24"/>
          <w:szCs w:val="24"/>
        </w:rPr>
        <w:t>adopt</w:t>
      </w:r>
      <w:r>
        <w:rPr>
          <w:rFonts w:ascii="Arial" w:hAnsi="Arial" w:cs="Arial"/>
          <w:sz w:val="24"/>
          <w:szCs w:val="24"/>
        </w:rPr>
        <w:t>ing</w:t>
      </w:r>
      <w:r w:rsidRPr="0022618C">
        <w:rPr>
          <w:rFonts w:ascii="Arial" w:hAnsi="Arial" w:cs="Arial"/>
          <w:sz w:val="24"/>
          <w:szCs w:val="24"/>
        </w:rPr>
        <w:t xml:space="preserve"> the new Accounting Guidance in a modified manner</w:t>
      </w:r>
      <w:r>
        <w:rPr>
          <w:rFonts w:ascii="Arial" w:hAnsi="Arial" w:cs="Arial"/>
          <w:sz w:val="24"/>
          <w:szCs w:val="24"/>
        </w:rPr>
        <w:t xml:space="preserve">, </w:t>
      </w:r>
      <w:r w:rsidR="00E20037">
        <w:rPr>
          <w:rFonts w:ascii="Arial" w:hAnsi="Arial" w:cs="Arial"/>
          <w:sz w:val="24"/>
          <w:szCs w:val="24"/>
        </w:rPr>
        <w:t xml:space="preserve">please describe which </w:t>
      </w:r>
      <w:r w:rsidR="00E20037" w:rsidRPr="00E20037">
        <w:rPr>
          <w:rFonts w:ascii="Arial" w:hAnsi="Arial" w:cs="Arial"/>
          <w:sz w:val="24"/>
          <w:szCs w:val="24"/>
        </w:rPr>
        <w:t>historical balances have been considered in the context of the Accounting Guidance</w:t>
      </w:r>
      <w:r w:rsidR="00E20037">
        <w:rPr>
          <w:rFonts w:ascii="Arial" w:hAnsi="Arial" w:cs="Arial"/>
          <w:sz w:val="24"/>
          <w:szCs w:val="24"/>
        </w:rPr>
        <w:t>. P</w:t>
      </w:r>
      <w:r>
        <w:rPr>
          <w:rFonts w:ascii="Arial" w:hAnsi="Arial" w:cs="Arial"/>
          <w:sz w:val="24"/>
          <w:szCs w:val="24"/>
        </w:rPr>
        <w:t xml:space="preserve">lease </w:t>
      </w:r>
      <w:r w:rsidR="00BD64A3" w:rsidRPr="00BD64A3">
        <w:rPr>
          <w:rFonts w:ascii="Arial" w:hAnsi="Arial" w:cs="Arial"/>
          <w:sz w:val="24"/>
          <w:szCs w:val="24"/>
        </w:rPr>
        <w:t>provide a summary of the review performed</w:t>
      </w:r>
      <w:r w:rsidR="00BD64A3">
        <w:rPr>
          <w:rFonts w:ascii="Arial" w:hAnsi="Arial" w:cs="Arial"/>
          <w:sz w:val="24"/>
          <w:szCs w:val="24"/>
        </w:rPr>
        <w:t xml:space="preserve">, </w:t>
      </w:r>
      <w:r w:rsidRPr="0022618C">
        <w:rPr>
          <w:rFonts w:ascii="Arial" w:hAnsi="Arial" w:cs="Arial"/>
          <w:sz w:val="24"/>
          <w:szCs w:val="24"/>
        </w:rPr>
        <w:t xml:space="preserve">discuss the results of </w:t>
      </w:r>
      <w:r w:rsidR="00977398">
        <w:rPr>
          <w:rFonts w:ascii="Arial" w:hAnsi="Arial" w:cs="Arial"/>
          <w:sz w:val="24"/>
          <w:szCs w:val="24"/>
        </w:rPr>
        <w:t xml:space="preserve">Hydro One’s </w:t>
      </w:r>
      <w:r w:rsidRPr="0022618C">
        <w:rPr>
          <w:rFonts w:ascii="Arial" w:hAnsi="Arial" w:cs="Arial"/>
          <w:sz w:val="24"/>
          <w:szCs w:val="24"/>
        </w:rPr>
        <w:t xml:space="preserve">review, whether any systemic issues were noted, and whether any material adjustments to the account balances have been recorded. </w:t>
      </w:r>
      <w:r>
        <w:rPr>
          <w:rFonts w:ascii="Arial" w:hAnsi="Arial" w:cs="Arial"/>
          <w:sz w:val="24"/>
          <w:szCs w:val="24"/>
        </w:rPr>
        <w:t xml:space="preserve">Please provide a </w:t>
      </w:r>
      <w:r w:rsidRPr="0022618C">
        <w:rPr>
          <w:rFonts w:ascii="Arial" w:hAnsi="Arial" w:cs="Arial"/>
          <w:sz w:val="24"/>
          <w:szCs w:val="24"/>
        </w:rPr>
        <w:t>summary and description of each adjustment made to the balance</w:t>
      </w:r>
      <w:r>
        <w:rPr>
          <w:rFonts w:ascii="Arial" w:hAnsi="Arial" w:cs="Arial"/>
          <w:sz w:val="24"/>
          <w:szCs w:val="24"/>
        </w:rPr>
        <w:t>s.</w:t>
      </w:r>
    </w:p>
    <w:p w14:paraId="6B053489" w14:textId="77777777" w:rsidR="0022618C" w:rsidRPr="0022618C" w:rsidRDefault="0022618C" w:rsidP="0022618C">
      <w:pPr>
        <w:rPr>
          <w:rFonts w:ascii="Arial" w:hAnsi="Arial" w:cs="Arial"/>
          <w:sz w:val="24"/>
          <w:szCs w:val="24"/>
        </w:rPr>
      </w:pPr>
    </w:p>
    <w:p w14:paraId="2FC3AADE" w14:textId="77777777" w:rsidR="00AE574C" w:rsidRDefault="00AE574C" w:rsidP="00AE574C">
      <w:pPr>
        <w:rPr>
          <w:rFonts w:ascii="Arial" w:hAnsi="Arial" w:cs="Arial"/>
          <w:sz w:val="24"/>
          <w:szCs w:val="24"/>
        </w:rPr>
      </w:pPr>
    </w:p>
    <w:p w14:paraId="6BFAEE34" w14:textId="3436F34E" w:rsidR="00AE574C" w:rsidRPr="00AE574C" w:rsidRDefault="00AE574C" w:rsidP="00F25464">
      <w:pPr>
        <w:rPr>
          <w:rFonts w:ascii="Arial" w:hAnsi="Arial" w:cs="Arial"/>
          <w:sz w:val="24"/>
          <w:szCs w:val="24"/>
        </w:rPr>
      </w:pPr>
    </w:p>
    <w:sectPr w:rsidR="00AE574C" w:rsidRPr="00AE574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B72A2" w14:textId="77777777" w:rsidR="009E6537" w:rsidRDefault="009E6537" w:rsidP="009E6537">
      <w:pPr>
        <w:spacing w:after="0" w:line="240" w:lineRule="auto"/>
      </w:pPr>
      <w:r>
        <w:separator/>
      </w:r>
    </w:p>
  </w:endnote>
  <w:endnote w:type="continuationSeparator" w:id="0">
    <w:p w14:paraId="214E81F2" w14:textId="77777777" w:rsidR="009E6537" w:rsidRDefault="009E6537" w:rsidP="009E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9128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57572D" w14:textId="3ECF8C5A" w:rsidR="004A5C99" w:rsidRDefault="004A5C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93C47E" w14:textId="77777777" w:rsidR="004A5C99" w:rsidRDefault="004A5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320E7" w14:textId="77777777" w:rsidR="009E6537" w:rsidRDefault="009E6537" w:rsidP="009E6537">
      <w:pPr>
        <w:spacing w:after="0" w:line="240" w:lineRule="auto"/>
      </w:pPr>
      <w:r>
        <w:separator/>
      </w:r>
    </w:p>
  </w:footnote>
  <w:footnote w:type="continuationSeparator" w:id="0">
    <w:p w14:paraId="0A1CF3D9" w14:textId="77777777" w:rsidR="009E6537" w:rsidRDefault="009E6537" w:rsidP="009E6537">
      <w:pPr>
        <w:spacing w:after="0" w:line="240" w:lineRule="auto"/>
      </w:pPr>
      <w:r>
        <w:continuationSeparator/>
      </w:r>
    </w:p>
  </w:footnote>
  <w:footnote w:id="1">
    <w:p w14:paraId="07F983DB" w14:textId="73A6183B" w:rsidR="00184F92" w:rsidRPr="000D16D9" w:rsidRDefault="00184F92" w:rsidP="00184F92">
      <w:pPr>
        <w:pStyle w:val="FootnoteText"/>
        <w:rPr>
          <w:rFonts w:ascii="Arial" w:hAnsi="Arial" w:cs="Arial"/>
        </w:rPr>
      </w:pPr>
      <w:r w:rsidRPr="00660554">
        <w:rPr>
          <w:rStyle w:val="FootnoteReference"/>
          <w:rFonts w:ascii="Arial" w:hAnsi="Arial" w:cs="Arial"/>
        </w:rPr>
        <w:footnoteRef/>
      </w:r>
      <w:r w:rsidRPr="00660554">
        <w:rPr>
          <w:rFonts w:ascii="Arial" w:hAnsi="Arial" w:cs="Arial"/>
        </w:rPr>
        <w:t xml:space="preserve"> </w:t>
      </w:r>
      <w:r w:rsidRPr="00660554">
        <w:rPr>
          <w:rFonts w:ascii="Arial" w:hAnsi="Arial" w:cs="Arial"/>
        </w:rPr>
        <w:t>Filing Requirements For</w:t>
      </w:r>
      <w:r w:rsidRPr="00660554">
        <w:rPr>
          <w:rFonts w:ascii="Arial" w:hAnsi="Arial" w:cs="Arial"/>
        </w:rPr>
        <w:t xml:space="preserve"> </w:t>
      </w:r>
      <w:r w:rsidRPr="00660554">
        <w:rPr>
          <w:rFonts w:ascii="Arial" w:hAnsi="Arial" w:cs="Arial"/>
        </w:rPr>
        <w:t>Electricity Distribution Rate Applications</w:t>
      </w:r>
      <w:r w:rsidRPr="00660554">
        <w:rPr>
          <w:rFonts w:ascii="Arial" w:hAnsi="Arial" w:cs="Arial"/>
        </w:rPr>
        <w:t xml:space="preserve"> </w:t>
      </w:r>
      <w:r w:rsidRPr="00660554">
        <w:rPr>
          <w:rFonts w:ascii="Arial" w:hAnsi="Arial" w:cs="Arial"/>
        </w:rPr>
        <w:t xml:space="preserve">- 2023 Edition for 2024 Rate </w:t>
      </w:r>
      <w:r w:rsidRPr="000D16D9">
        <w:rPr>
          <w:rFonts w:ascii="Arial" w:hAnsi="Arial" w:cs="Arial"/>
        </w:rPr>
        <w:t>Applications-</w:t>
      </w:r>
      <w:r w:rsidRPr="000D16D9">
        <w:rPr>
          <w:rFonts w:ascii="Arial" w:hAnsi="Arial" w:cs="Arial"/>
        </w:rPr>
        <w:t xml:space="preserve"> </w:t>
      </w:r>
      <w:r w:rsidRPr="000D16D9">
        <w:rPr>
          <w:rFonts w:ascii="Arial" w:hAnsi="Arial" w:cs="Arial"/>
        </w:rPr>
        <w:t>Chapter 3</w:t>
      </w:r>
      <w:r w:rsidRPr="000D16D9">
        <w:rPr>
          <w:rFonts w:ascii="Arial" w:hAnsi="Arial" w:cs="Arial"/>
        </w:rPr>
        <w:t xml:space="preserve">, </w:t>
      </w:r>
      <w:r w:rsidRPr="000D16D9">
        <w:rPr>
          <w:rFonts w:ascii="Arial" w:hAnsi="Arial" w:cs="Arial"/>
        </w:rPr>
        <w:t>Incentive Rate-Setting Applications</w:t>
      </w:r>
      <w:r w:rsidRPr="000D16D9">
        <w:rPr>
          <w:rFonts w:ascii="Arial" w:hAnsi="Arial" w:cs="Arial"/>
        </w:rPr>
        <w:t xml:space="preserve">, </w:t>
      </w:r>
      <w:r w:rsidRPr="000D16D9">
        <w:rPr>
          <w:rFonts w:ascii="Arial" w:hAnsi="Arial" w:cs="Arial"/>
        </w:rPr>
        <w:t>June 15, 2023</w:t>
      </w:r>
    </w:p>
  </w:footnote>
  <w:footnote w:id="2">
    <w:p w14:paraId="7107301A" w14:textId="200FEA78" w:rsidR="000D16D9" w:rsidRDefault="000D16D9">
      <w:pPr>
        <w:pStyle w:val="FootnoteText"/>
      </w:pPr>
      <w:r w:rsidRPr="000D16D9">
        <w:rPr>
          <w:rStyle w:val="FootnoteReference"/>
          <w:rFonts w:ascii="Arial" w:hAnsi="Arial" w:cs="Arial"/>
        </w:rPr>
        <w:footnoteRef/>
      </w:r>
      <w:r w:rsidRPr="000D16D9">
        <w:rPr>
          <w:rFonts w:ascii="Arial" w:hAnsi="Arial" w:cs="Arial"/>
        </w:rPr>
        <w:t xml:space="preserve"> </w:t>
      </w:r>
      <w:r w:rsidRPr="000D16D9">
        <w:rPr>
          <w:rFonts w:ascii="Arial" w:hAnsi="Arial" w:cs="Arial"/>
        </w:rPr>
        <w:t>Accounting Guidance related to Accounts 1588 RSVA Power, and 1589 RSVA Global Adjustment, issued February 21, 2019</w:t>
      </w:r>
    </w:p>
  </w:footnote>
  <w:footnote w:id="3">
    <w:p w14:paraId="4C540624" w14:textId="05C6BFB6" w:rsidR="00AA043C" w:rsidRPr="00660554" w:rsidRDefault="00AA043C">
      <w:pPr>
        <w:pStyle w:val="FootnoteText"/>
        <w:rPr>
          <w:rFonts w:ascii="Arial" w:hAnsi="Arial" w:cs="Arial"/>
        </w:rPr>
      </w:pPr>
      <w:r w:rsidRPr="00660554">
        <w:rPr>
          <w:rStyle w:val="FootnoteReference"/>
          <w:rFonts w:ascii="Arial" w:hAnsi="Arial" w:cs="Arial"/>
        </w:rPr>
        <w:footnoteRef/>
      </w:r>
      <w:r w:rsidRPr="00660554">
        <w:rPr>
          <w:rFonts w:ascii="Arial" w:hAnsi="Arial" w:cs="Arial"/>
        </w:rPr>
        <w:t xml:space="preserve"> </w:t>
      </w:r>
      <w:r w:rsidRPr="00660554">
        <w:rPr>
          <w:rFonts w:ascii="Arial" w:hAnsi="Arial" w:cs="Arial"/>
        </w:rPr>
        <w:t>EB-2020-0030</w:t>
      </w:r>
      <w:r w:rsidRPr="00660554">
        <w:rPr>
          <w:rFonts w:ascii="Arial" w:hAnsi="Arial" w:cs="Arial"/>
        </w:rPr>
        <w:t xml:space="preserve">, </w:t>
      </w:r>
      <w:r w:rsidR="00AA4FB4">
        <w:rPr>
          <w:rFonts w:ascii="Arial" w:hAnsi="Arial" w:cs="Arial"/>
        </w:rPr>
        <w:t xml:space="preserve">2021 Custom IR Update, </w:t>
      </w:r>
      <w:r w:rsidRPr="00660554">
        <w:rPr>
          <w:rFonts w:ascii="Arial" w:hAnsi="Arial" w:cs="Arial"/>
        </w:rPr>
        <w:t xml:space="preserve">Decision and Rate Order, </w:t>
      </w:r>
      <w:r w:rsidRPr="00660554">
        <w:rPr>
          <w:rFonts w:ascii="Arial" w:hAnsi="Arial" w:cs="Arial"/>
        </w:rPr>
        <w:t>December 17, 2020</w:t>
      </w:r>
      <w:r w:rsidRPr="00660554">
        <w:rPr>
          <w:rFonts w:ascii="Arial" w:hAnsi="Arial" w:cs="Arial"/>
        </w:rPr>
        <w:t>, p. 17 &amp; 18</w:t>
      </w:r>
    </w:p>
  </w:footnote>
  <w:footnote w:id="4">
    <w:p w14:paraId="4FEB13B9" w14:textId="22B15D41" w:rsidR="00411862" w:rsidRPr="00442993" w:rsidRDefault="00411862" w:rsidP="00411862">
      <w:pPr>
        <w:pStyle w:val="FootnoteText"/>
        <w:rPr>
          <w:rFonts w:ascii="Arial" w:hAnsi="Arial" w:cs="Arial"/>
        </w:rPr>
      </w:pPr>
      <w:r w:rsidRPr="00442993">
        <w:rPr>
          <w:rStyle w:val="FootnoteReference"/>
          <w:rFonts w:ascii="Arial" w:hAnsi="Arial" w:cs="Arial"/>
        </w:rPr>
        <w:footnoteRef/>
      </w:r>
      <w:r w:rsidRPr="00442993">
        <w:rPr>
          <w:rFonts w:ascii="Arial" w:hAnsi="Arial" w:cs="Arial"/>
        </w:rPr>
        <w:t xml:space="preserve"> </w:t>
      </w:r>
      <w:r w:rsidRPr="00442993">
        <w:rPr>
          <w:rFonts w:ascii="Arial" w:hAnsi="Arial" w:cs="Arial"/>
        </w:rPr>
        <w:t>EB-2023-0030</w:t>
      </w:r>
      <w:r w:rsidRPr="00442993">
        <w:rPr>
          <w:rFonts w:ascii="Arial" w:hAnsi="Arial" w:cs="Arial"/>
        </w:rPr>
        <w:t xml:space="preserve">, </w:t>
      </w:r>
      <w:r w:rsidRPr="00442993">
        <w:rPr>
          <w:rFonts w:ascii="Arial" w:hAnsi="Arial" w:cs="Arial"/>
        </w:rPr>
        <w:t>Exhibit A</w:t>
      </w:r>
      <w:r w:rsidRPr="00442993">
        <w:rPr>
          <w:rFonts w:ascii="Arial" w:hAnsi="Arial" w:cs="Arial"/>
        </w:rPr>
        <w:t xml:space="preserve">, </w:t>
      </w:r>
      <w:r w:rsidRPr="00442993">
        <w:rPr>
          <w:rFonts w:ascii="Arial" w:hAnsi="Arial" w:cs="Arial"/>
        </w:rPr>
        <w:t>Tab 4</w:t>
      </w:r>
      <w:r w:rsidRPr="00442993">
        <w:rPr>
          <w:rFonts w:ascii="Arial" w:hAnsi="Arial" w:cs="Arial"/>
        </w:rPr>
        <w:t xml:space="preserve"> ,</w:t>
      </w:r>
      <w:r w:rsidRPr="00442993">
        <w:rPr>
          <w:rFonts w:ascii="Arial" w:hAnsi="Arial" w:cs="Arial"/>
        </w:rPr>
        <w:t>Schedule 1</w:t>
      </w:r>
      <w:r w:rsidRPr="00442993">
        <w:rPr>
          <w:rFonts w:ascii="Arial" w:hAnsi="Arial" w:cs="Arial"/>
        </w:rPr>
        <w:t xml:space="preserve">, </w:t>
      </w:r>
      <w:r w:rsidRPr="00442993">
        <w:rPr>
          <w:rFonts w:ascii="Arial" w:hAnsi="Arial" w:cs="Arial"/>
        </w:rPr>
        <w:t>Page 12</w:t>
      </w:r>
    </w:p>
  </w:footnote>
  <w:footnote w:id="5">
    <w:p w14:paraId="5F8F2428" w14:textId="77777777" w:rsidR="00AD0B6F" w:rsidRPr="009E6537" w:rsidRDefault="00AD0B6F" w:rsidP="00AD0B6F">
      <w:pPr>
        <w:pStyle w:val="FootnoteText"/>
        <w:rPr>
          <w:rFonts w:ascii="Arial" w:hAnsi="Arial" w:cs="Arial"/>
        </w:rPr>
      </w:pPr>
      <w:r w:rsidRPr="009E6537">
        <w:rPr>
          <w:rStyle w:val="FootnoteReference"/>
          <w:rFonts w:ascii="Arial" w:hAnsi="Arial" w:cs="Arial"/>
        </w:rPr>
        <w:footnoteRef/>
      </w:r>
      <w:r w:rsidRPr="009E6537">
        <w:rPr>
          <w:rFonts w:ascii="Arial" w:hAnsi="Arial" w:cs="Arial"/>
        </w:rPr>
        <w:t xml:space="preserve"> EB-2023-0059, Exhibit A, Tab 4, Schedule 1, Page 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A3547"/>
    <w:multiLevelType w:val="hybridMultilevel"/>
    <w:tmpl w:val="6EC4BE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B0907"/>
    <w:multiLevelType w:val="hybridMultilevel"/>
    <w:tmpl w:val="19AC4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703278">
    <w:abstractNumId w:val="1"/>
  </w:num>
  <w:num w:numId="2" w16cid:durableId="65695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BD"/>
    <w:rsid w:val="000062DF"/>
    <w:rsid w:val="00013792"/>
    <w:rsid w:val="00014674"/>
    <w:rsid w:val="000178D0"/>
    <w:rsid w:val="000219CB"/>
    <w:rsid w:val="000220CF"/>
    <w:rsid w:val="00073F6D"/>
    <w:rsid w:val="000A53EF"/>
    <w:rsid w:val="000B668A"/>
    <w:rsid w:val="000D0A79"/>
    <w:rsid w:val="000D16D9"/>
    <w:rsid w:val="000F2DAF"/>
    <w:rsid w:val="00111D37"/>
    <w:rsid w:val="00141637"/>
    <w:rsid w:val="001435BB"/>
    <w:rsid w:val="001438FA"/>
    <w:rsid w:val="00171B60"/>
    <w:rsid w:val="00174F37"/>
    <w:rsid w:val="001757E3"/>
    <w:rsid w:val="00183D20"/>
    <w:rsid w:val="00184F92"/>
    <w:rsid w:val="001924B6"/>
    <w:rsid w:val="001B693E"/>
    <w:rsid w:val="001C2FFD"/>
    <w:rsid w:val="001E4989"/>
    <w:rsid w:val="001E55F7"/>
    <w:rsid w:val="0022618C"/>
    <w:rsid w:val="00236135"/>
    <w:rsid w:val="00256F6F"/>
    <w:rsid w:val="00294C5D"/>
    <w:rsid w:val="00295A82"/>
    <w:rsid w:val="002A1BB4"/>
    <w:rsid w:val="002A455E"/>
    <w:rsid w:val="002B07A9"/>
    <w:rsid w:val="002B37FD"/>
    <w:rsid w:val="002D0BD2"/>
    <w:rsid w:val="002D1BFF"/>
    <w:rsid w:val="00304639"/>
    <w:rsid w:val="0030547F"/>
    <w:rsid w:val="003076ED"/>
    <w:rsid w:val="00310E74"/>
    <w:rsid w:val="00320CFB"/>
    <w:rsid w:val="0032208B"/>
    <w:rsid w:val="00325BB0"/>
    <w:rsid w:val="0033109B"/>
    <w:rsid w:val="00346F4F"/>
    <w:rsid w:val="003646EB"/>
    <w:rsid w:val="003674E6"/>
    <w:rsid w:val="003719A5"/>
    <w:rsid w:val="00372B29"/>
    <w:rsid w:val="00384043"/>
    <w:rsid w:val="003C39C9"/>
    <w:rsid w:val="003C742A"/>
    <w:rsid w:val="003C756B"/>
    <w:rsid w:val="003D4CD8"/>
    <w:rsid w:val="00411862"/>
    <w:rsid w:val="00417FF7"/>
    <w:rsid w:val="0042588F"/>
    <w:rsid w:val="00426492"/>
    <w:rsid w:val="004279EC"/>
    <w:rsid w:val="0043280F"/>
    <w:rsid w:val="00442993"/>
    <w:rsid w:val="00443F5A"/>
    <w:rsid w:val="004512E4"/>
    <w:rsid w:val="00456EC6"/>
    <w:rsid w:val="0048495A"/>
    <w:rsid w:val="004850EE"/>
    <w:rsid w:val="00491EB9"/>
    <w:rsid w:val="00492AE4"/>
    <w:rsid w:val="00493061"/>
    <w:rsid w:val="00493EDD"/>
    <w:rsid w:val="004A5C99"/>
    <w:rsid w:val="004C41A4"/>
    <w:rsid w:val="004D0B29"/>
    <w:rsid w:val="004D166B"/>
    <w:rsid w:val="004D4CB1"/>
    <w:rsid w:val="004E55FE"/>
    <w:rsid w:val="00503100"/>
    <w:rsid w:val="00522841"/>
    <w:rsid w:val="005A0E5E"/>
    <w:rsid w:val="005A6C6F"/>
    <w:rsid w:val="005B2B32"/>
    <w:rsid w:val="005B6540"/>
    <w:rsid w:val="005E5C3F"/>
    <w:rsid w:val="006015CA"/>
    <w:rsid w:val="006052BD"/>
    <w:rsid w:val="006254AD"/>
    <w:rsid w:val="006452F5"/>
    <w:rsid w:val="00646872"/>
    <w:rsid w:val="006513DF"/>
    <w:rsid w:val="006520FB"/>
    <w:rsid w:val="006536F5"/>
    <w:rsid w:val="00655420"/>
    <w:rsid w:val="00660554"/>
    <w:rsid w:val="00664B04"/>
    <w:rsid w:val="0067009C"/>
    <w:rsid w:val="0067497C"/>
    <w:rsid w:val="00685F83"/>
    <w:rsid w:val="00693B8C"/>
    <w:rsid w:val="006954BB"/>
    <w:rsid w:val="006A7AE3"/>
    <w:rsid w:val="006B10A0"/>
    <w:rsid w:val="006D7487"/>
    <w:rsid w:val="006E34FF"/>
    <w:rsid w:val="006E61E3"/>
    <w:rsid w:val="006F7719"/>
    <w:rsid w:val="00704664"/>
    <w:rsid w:val="00713800"/>
    <w:rsid w:val="007309D3"/>
    <w:rsid w:val="007354DA"/>
    <w:rsid w:val="007356B8"/>
    <w:rsid w:val="007504CB"/>
    <w:rsid w:val="007606B6"/>
    <w:rsid w:val="00771525"/>
    <w:rsid w:val="00777CBA"/>
    <w:rsid w:val="00784306"/>
    <w:rsid w:val="0078508F"/>
    <w:rsid w:val="007A1CE3"/>
    <w:rsid w:val="007A6149"/>
    <w:rsid w:val="007C1CF1"/>
    <w:rsid w:val="007C53A6"/>
    <w:rsid w:val="007D2404"/>
    <w:rsid w:val="007D34EB"/>
    <w:rsid w:val="007D4EC2"/>
    <w:rsid w:val="007D644A"/>
    <w:rsid w:val="007F0D8A"/>
    <w:rsid w:val="007F3D40"/>
    <w:rsid w:val="00801272"/>
    <w:rsid w:val="008171DE"/>
    <w:rsid w:val="0082097C"/>
    <w:rsid w:val="008314A4"/>
    <w:rsid w:val="00831A2F"/>
    <w:rsid w:val="008400B4"/>
    <w:rsid w:val="00850969"/>
    <w:rsid w:val="00860F51"/>
    <w:rsid w:val="008638E5"/>
    <w:rsid w:val="008A76D0"/>
    <w:rsid w:val="008B313E"/>
    <w:rsid w:val="008C4360"/>
    <w:rsid w:val="008D04D8"/>
    <w:rsid w:val="008D566C"/>
    <w:rsid w:val="008E6EAC"/>
    <w:rsid w:val="008E6F5C"/>
    <w:rsid w:val="008F2036"/>
    <w:rsid w:val="008F2BC3"/>
    <w:rsid w:val="008F4CCE"/>
    <w:rsid w:val="00907187"/>
    <w:rsid w:val="009118F5"/>
    <w:rsid w:val="00933F47"/>
    <w:rsid w:val="0094032D"/>
    <w:rsid w:val="00940741"/>
    <w:rsid w:val="00950396"/>
    <w:rsid w:val="00975A56"/>
    <w:rsid w:val="00975B94"/>
    <w:rsid w:val="00977398"/>
    <w:rsid w:val="00985929"/>
    <w:rsid w:val="0098695C"/>
    <w:rsid w:val="009A4F3C"/>
    <w:rsid w:val="009A5E1B"/>
    <w:rsid w:val="009C132C"/>
    <w:rsid w:val="009C7B95"/>
    <w:rsid w:val="009D6F1B"/>
    <w:rsid w:val="009D7007"/>
    <w:rsid w:val="009E214A"/>
    <w:rsid w:val="009E6537"/>
    <w:rsid w:val="00A3517F"/>
    <w:rsid w:val="00A40F3E"/>
    <w:rsid w:val="00A6515B"/>
    <w:rsid w:val="00A70F38"/>
    <w:rsid w:val="00A77376"/>
    <w:rsid w:val="00A911EA"/>
    <w:rsid w:val="00AA043C"/>
    <w:rsid w:val="00AA346D"/>
    <w:rsid w:val="00AA41C6"/>
    <w:rsid w:val="00AA4FB4"/>
    <w:rsid w:val="00AB1CD4"/>
    <w:rsid w:val="00AB41EB"/>
    <w:rsid w:val="00AB60AD"/>
    <w:rsid w:val="00AC0660"/>
    <w:rsid w:val="00AC22F1"/>
    <w:rsid w:val="00AD0B6F"/>
    <w:rsid w:val="00AE574C"/>
    <w:rsid w:val="00B1509A"/>
    <w:rsid w:val="00B24C36"/>
    <w:rsid w:val="00B37AB7"/>
    <w:rsid w:val="00B42307"/>
    <w:rsid w:val="00B6004B"/>
    <w:rsid w:val="00B671C2"/>
    <w:rsid w:val="00B72627"/>
    <w:rsid w:val="00B73F54"/>
    <w:rsid w:val="00B97CBD"/>
    <w:rsid w:val="00BA75D7"/>
    <w:rsid w:val="00BD0CC1"/>
    <w:rsid w:val="00BD156A"/>
    <w:rsid w:val="00BD217E"/>
    <w:rsid w:val="00BD64A3"/>
    <w:rsid w:val="00BE7BE2"/>
    <w:rsid w:val="00C10FC2"/>
    <w:rsid w:val="00C1788A"/>
    <w:rsid w:val="00C33F95"/>
    <w:rsid w:val="00C35D3B"/>
    <w:rsid w:val="00C37C58"/>
    <w:rsid w:val="00C54588"/>
    <w:rsid w:val="00C90FB0"/>
    <w:rsid w:val="00C92D83"/>
    <w:rsid w:val="00C93F1E"/>
    <w:rsid w:val="00C972E4"/>
    <w:rsid w:val="00CA47E1"/>
    <w:rsid w:val="00CC4AA8"/>
    <w:rsid w:val="00CC78E3"/>
    <w:rsid w:val="00CD14E6"/>
    <w:rsid w:val="00CD3EDB"/>
    <w:rsid w:val="00CF1832"/>
    <w:rsid w:val="00CF4AE4"/>
    <w:rsid w:val="00D00E92"/>
    <w:rsid w:val="00D05E72"/>
    <w:rsid w:val="00D2363D"/>
    <w:rsid w:val="00D239A4"/>
    <w:rsid w:val="00DA7B9B"/>
    <w:rsid w:val="00DB34E4"/>
    <w:rsid w:val="00DC670F"/>
    <w:rsid w:val="00DE04EA"/>
    <w:rsid w:val="00DE4D49"/>
    <w:rsid w:val="00DE4FDD"/>
    <w:rsid w:val="00DF0EA3"/>
    <w:rsid w:val="00DF25EF"/>
    <w:rsid w:val="00E1498D"/>
    <w:rsid w:val="00E20037"/>
    <w:rsid w:val="00E20E7E"/>
    <w:rsid w:val="00E22D19"/>
    <w:rsid w:val="00E30DBF"/>
    <w:rsid w:val="00E36D2B"/>
    <w:rsid w:val="00E543B4"/>
    <w:rsid w:val="00E830DE"/>
    <w:rsid w:val="00E942DC"/>
    <w:rsid w:val="00E96C97"/>
    <w:rsid w:val="00E97BBE"/>
    <w:rsid w:val="00EA078E"/>
    <w:rsid w:val="00EB3468"/>
    <w:rsid w:val="00EB7DE9"/>
    <w:rsid w:val="00EC5189"/>
    <w:rsid w:val="00EC7E94"/>
    <w:rsid w:val="00ED73A8"/>
    <w:rsid w:val="00EE1EFD"/>
    <w:rsid w:val="00EE30AC"/>
    <w:rsid w:val="00EE6B19"/>
    <w:rsid w:val="00EF53BA"/>
    <w:rsid w:val="00EF689F"/>
    <w:rsid w:val="00EF75DE"/>
    <w:rsid w:val="00F00025"/>
    <w:rsid w:val="00F115D2"/>
    <w:rsid w:val="00F16C68"/>
    <w:rsid w:val="00F2029F"/>
    <w:rsid w:val="00F23B18"/>
    <w:rsid w:val="00F25464"/>
    <w:rsid w:val="00F52310"/>
    <w:rsid w:val="00F55CAD"/>
    <w:rsid w:val="00F64296"/>
    <w:rsid w:val="00F8360C"/>
    <w:rsid w:val="00F84D79"/>
    <w:rsid w:val="00F9256C"/>
    <w:rsid w:val="00F9682C"/>
    <w:rsid w:val="00FB533D"/>
    <w:rsid w:val="00FB7C7D"/>
    <w:rsid w:val="00FC6833"/>
    <w:rsid w:val="00FD5C40"/>
    <w:rsid w:val="00FE6656"/>
    <w:rsid w:val="00FF0145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DBA89"/>
  <w15:chartTrackingRefBased/>
  <w15:docId w15:val="{99C178A6-E62E-4886-B9F0-1173B5BF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EA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E65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65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6537"/>
    <w:rPr>
      <w:vertAlign w:val="superscript"/>
    </w:rPr>
  </w:style>
  <w:style w:type="paragraph" w:styleId="Revision">
    <w:name w:val="Revision"/>
    <w:hidden/>
    <w:uiPriority w:val="99"/>
    <w:semiHidden/>
    <w:rsid w:val="00522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5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C99"/>
  </w:style>
  <w:style w:type="paragraph" w:styleId="Footer">
    <w:name w:val="footer"/>
    <w:basedOn w:val="Normal"/>
    <w:link w:val="FooterChar"/>
    <w:uiPriority w:val="99"/>
    <w:unhideWhenUsed/>
    <w:rsid w:val="004A5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8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64BF1-363D-4040-8281-0D975FE5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ENERGY BOARD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O'Connell</dc:creator>
  <cp:keywords/>
  <dc:description/>
  <cp:lastModifiedBy>Fiona O'Connell</cp:lastModifiedBy>
  <cp:revision>2</cp:revision>
  <dcterms:created xsi:type="dcterms:W3CDTF">2023-08-27T22:42:00Z</dcterms:created>
  <dcterms:modified xsi:type="dcterms:W3CDTF">2023-08-27T22:42:00Z</dcterms:modified>
</cp:coreProperties>
</file>