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30934FCB" w:rsidR="00A07077" w:rsidRPr="00D57E8C" w:rsidRDefault="00743255" w:rsidP="00A07077">
      <w:pPr>
        <w:pStyle w:val="Default"/>
        <w:jc w:val="center"/>
        <w:rPr>
          <w:rFonts w:ascii="Arial" w:hAnsi="Arial" w:cs="Arial"/>
          <w:sz w:val="28"/>
          <w:szCs w:val="28"/>
        </w:rPr>
      </w:pPr>
      <w:proofErr w:type="spellStart"/>
      <w:r>
        <w:rPr>
          <w:rFonts w:ascii="Arial" w:hAnsi="Arial" w:cs="Arial"/>
          <w:b/>
          <w:bCs/>
          <w:sz w:val="28"/>
          <w:szCs w:val="28"/>
        </w:rPr>
        <w:t>Entegrus</w:t>
      </w:r>
      <w:proofErr w:type="spellEnd"/>
      <w:r>
        <w:rPr>
          <w:rFonts w:ascii="Arial" w:hAnsi="Arial" w:cs="Arial"/>
          <w:b/>
          <w:bCs/>
          <w:sz w:val="28"/>
          <w:szCs w:val="28"/>
        </w:rPr>
        <w:t xml:space="preserve"> Powerlines Inc.</w:t>
      </w:r>
    </w:p>
    <w:p w14:paraId="33D6510D" w14:textId="1EC4D79C"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743255">
        <w:rPr>
          <w:rFonts w:ascii="Arial" w:hAnsi="Arial" w:cs="Arial"/>
          <w:b/>
          <w:bCs/>
          <w:sz w:val="28"/>
          <w:szCs w:val="28"/>
        </w:rPr>
        <w:t>23</w:t>
      </w:r>
      <w:r w:rsidR="00B069AA" w:rsidRPr="00D57E8C">
        <w:rPr>
          <w:rFonts w:ascii="Arial" w:hAnsi="Arial" w:cs="Arial"/>
          <w:b/>
          <w:bCs/>
          <w:sz w:val="28"/>
          <w:szCs w:val="28"/>
        </w:rPr>
        <w:t>-</w:t>
      </w:r>
      <w:r w:rsidR="00743255">
        <w:rPr>
          <w:rFonts w:ascii="Arial" w:hAnsi="Arial" w:cs="Arial"/>
          <w:b/>
          <w:bCs/>
          <w:sz w:val="28"/>
          <w:szCs w:val="28"/>
        </w:rPr>
        <w:t>0016</w:t>
      </w:r>
    </w:p>
    <w:p w14:paraId="5999C199" w14:textId="79A53B53" w:rsidR="00D77124" w:rsidRDefault="00A76039" w:rsidP="00AB251C">
      <w:pPr>
        <w:pStyle w:val="Default"/>
        <w:spacing w:after="360"/>
        <w:contextualSpacing/>
        <w:jc w:val="center"/>
        <w:rPr>
          <w:rFonts w:ascii="Arial" w:hAnsi="Arial" w:cs="Arial"/>
          <w:b/>
          <w:bCs/>
          <w:sz w:val="28"/>
          <w:szCs w:val="28"/>
        </w:rPr>
      </w:pPr>
      <w:r>
        <w:rPr>
          <w:rFonts w:ascii="Arial" w:hAnsi="Arial" w:cs="Arial"/>
          <w:b/>
          <w:bCs/>
          <w:sz w:val="28"/>
          <w:szCs w:val="28"/>
        </w:rPr>
        <w:t>October 3</w:t>
      </w:r>
      <w:r w:rsidR="00743255">
        <w:rPr>
          <w:rFonts w:ascii="Arial" w:hAnsi="Arial" w:cs="Arial"/>
          <w:b/>
          <w:bCs/>
          <w:sz w:val="28"/>
          <w:szCs w:val="28"/>
        </w:rPr>
        <w:t>, 2023</w:t>
      </w:r>
    </w:p>
    <w:p w14:paraId="2A0CB1B0" w14:textId="5891CF40" w:rsid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proofErr w:type="spellStart"/>
      <w:r w:rsidR="00743255">
        <w:rPr>
          <w:rFonts w:ascii="Arial" w:eastAsia="Calibri" w:hAnsi="Arial" w:cs="Arial"/>
          <w:sz w:val="24"/>
          <w:szCs w:val="24"/>
        </w:rPr>
        <w:t>Entegrus</w:t>
      </w:r>
      <w:proofErr w:type="spellEnd"/>
      <w:r w:rsidR="00743255">
        <w:rPr>
          <w:rFonts w:ascii="Arial" w:eastAsia="Calibri" w:hAnsi="Arial" w:cs="Arial"/>
          <w:sz w:val="24"/>
          <w:szCs w:val="24"/>
        </w:rPr>
        <w:t xml:space="preserve"> Powerlines Inc.</w:t>
      </w:r>
      <w:r w:rsidR="00D77124">
        <w:rPr>
          <w:rFonts w:ascii="Arial" w:eastAsia="Calibri" w:hAnsi="Arial" w:cs="Arial"/>
          <w:sz w:val="24"/>
          <w:szCs w:val="24"/>
        </w:rPr>
        <w:t xml:space="preserve"> (</w:t>
      </w:r>
      <w:proofErr w:type="spellStart"/>
      <w:r w:rsidR="00743255">
        <w:rPr>
          <w:rFonts w:ascii="Arial" w:eastAsia="Calibri" w:hAnsi="Arial" w:cs="Arial"/>
          <w:sz w:val="24"/>
          <w:szCs w:val="24"/>
        </w:rPr>
        <w:t>Entegrus</w:t>
      </w:r>
      <w:proofErr w:type="spellEnd"/>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3FE2A15E" w14:textId="77777777" w:rsidR="002F324E" w:rsidRPr="00E86F26" w:rsidRDefault="002F324E" w:rsidP="00AB251C">
      <w:pPr>
        <w:autoSpaceDE w:val="0"/>
        <w:autoSpaceDN w:val="0"/>
        <w:adjustRightInd w:val="0"/>
        <w:spacing w:after="240" w:line="240" w:lineRule="auto"/>
        <w:rPr>
          <w:rFonts w:ascii="Arial" w:eastAsia="Calibri" w:hAnsi="Arial" w:cs="Arial"/>
          <w:sz w:val="24"/>
          <w:szCs w:val="24"/>
        </w:rPr>
      </w:pPr>
    </w:p>
    <w:bookmarkEnd w:id="0"/>
    <w:p w14:paraId="7CFAFC4F" w14:textId="77777777" w:rsidR="00D57E8C" w:rsidRDefault="00D57E8C" w:rsidP="00AB251C">
      <w:pPr>
        <w:spacing w:after="240"/>
        <w:rPr>
          <w:rFonts w:ascii="Arial" w:hAnsi="Arial" w:cs="Arial"/>
          <w:b/>
          <w:sz w:val="24"/>
          <w:szCs w:val="24"/>
        </w:rPr>
      </w:pPr>
      <w:r>
        <w:rPr>
          <w:rFonts w:ascii="Arial" w:hAnsi="Arial" w:cs="Arial"/>
          <w:b/>
          <w:sz w:val="24"/>
          <w:szCs w:val="24"/>
        </w:rPr>
        <w:t>Staff Question-1</w:t>
      </w:r>
    </w:p>
    <w:p w14:paraId="43AE605B" w14:textId="41F70390" w:rsidR="00D57E8C" w:rsidRDefault="00743255" w:rsidP="00900EE8">
      <w:pPr>
        <w:spacing w:after="240"/>
        <w:ind w:left="1440" w:hanging="720"/>
        <w:rPr>
          <w:rFonts w:ascii="Arial" w:hAnsi="Arial" w:cs="Arial"/>
          <w:bCs/>
          <w:sz w:val="24"/>
          <w:szCs w:val="24"/>
        </w:rPr>
      </w:pPr>
      <w:r w:rsidRPr="00743255">
        <w:rPr>
          <w:rFonts w:ascii="Arial" w:hAnsi="Arial" w:cs="Arial"/>
          <w:bCs/>
          <w:sz w:val="24"/>
          <w:szCs w:val="24"/>
        </w:rPr>
        <w:t>Ref</w:t>
      </w:r>
      <w:r>
        <w:rPr>
          <w:rFonts w:ascii="Arial" w:hAnsi="Arial" w:cs="Arial"/>
          <w:bCs/>
          <w:sz w:val="24"/>
          <w:szCs w:val="24"/>
        </w:rPr>
        <w:t xml:space="preserve">: </w:t>
      </w:r>
      <w:r>
        <w:rPr>
          <w:rFonts w:ascii="Arial" w:hAnsi="Arial" w:cs="Arial"/>
          <w:bCs/>
          <w:sz w:val="24"/>
          <w:szCs w:val="24"/>
        </w:rPr>
        <w:tab/>
        <w:t>Rate Generator Model, Tab 3, Continuity Schedule</w:t>
      </w:r>
      <w:r w:rsidR="007B40BA">
        <w:rPr>
          <w:rFonts w:ascii="Arial" w:hAnsi="Arial" w:cs="Arial"/>
          <w:bCs/>
          <w:sz w:val="24"/>
          <w:szCs w:val="24"/>
        </w:rPr>
        <w:t xml:space="preserve"> (Main and St. Thomas Rate Zones)</w:t>
      </w:r>
    </w:p>
    <w:p w14:paraId="4D02C8D9" w14:textId="77777777" w:rsidR="00743255" w:rsidRPr="00743255" w:rsidRDefault="00743255" w:rsidP="00743255">
      <w:pPr>
        <w:pStyle w:val="Default"/>
        <w:spacing w:line="276" w:lineRule="auto"/>
        <w:rPr>
          <w:rFonts w:ascii="Arial" w:hAnsi="Arial" w:cs="Arial"/>
          <w:bCs/>
          <w:color w:val="auto"/>
        </w:rPr>
      </w:pPr>
      <w:r w:rsidRPr="00743255">
        <w:rPr>
          <w:rFonts w:ascii="Arial" w:hAnsi="Arial" w:cs="Arial"/>
          <w:bCs/>
          <w:color w:val="auto"/>
        </w:rPr>
        <w:t>On September 12, 2023, the OEB published the 2023 Quarter 4 prescribed accounting interest rates applicable to the carrying charges of deferral, variance and construction work in progress (CWIP) accounts of natural gas utilities, electricity distributors and other rate-regulated entities.</w:t>
      </w:r>
    </w:p>
    <w:p w14:paraId="7EE01954" w14:textId="77777777" w:rsidR="00743255" w:rsidRPr="00743255" w:rsidRDefault="00743255" w:rsidP="00743255">
      <w:pPr>
        <w:pStyle w:val="Default"/>
        <w:spacing w:line="276" w:lineRule="auto"/>
        <w:rPr>
          <w:rFonts w:ascii="Arial" w:hAnsi="Arial" w:cs="Arial"/>
          <w:bCs/>
          <w:color w:val="auto"/>
        </w:rPr>
      </w:pPr>
    </w:p>
    <w:p w14:paraId="76389CF4" w14:textId="77777777" w:rsidR="00743255" w:rsidRPr="00743255" w:rsidRDefault="00743255" w:rsidP="00743255">
      <w:pPr>
        <w:pStyle w:val="Default"/>
        <w:spacing w:line="276" w:lineRule="auto"/>
        <w:rPr>
          <w:rFonts w:ascii="Arial" w:hAnsi="Arial" w:cs="Arial"/>
          <w:bCs/>
          <w:color w:val="auto"/>
        </w:rPr>
      </w:pPr>
      <w:r w:rsidRPr="00B80D86">
        <w:rPr>
          <w:rFonts w:ascii="Arial" w:hAnsi="Arial" w:cs="Arial"/>
          <w:bCs/>
          <w:color w:val="auto"/>
          <w:u w:val="single"/>
        </w:rPr>
        <w:t>Question</w:t>
      </w:r>
      <w:r w:rsidRPr="00743255">
        <w:rPr>
          <w:rFonts w:ascii="Arial" w:hAnsi="Arial" w:cs="Arial"/>
          <w:bCs/>
          <w:color w:val="auto"/>
        </w:rPr>
        <w:t xml:space="preserve">: </w:t>
      </w:r>
    </w:p>
    <w:p w14:paraId="74EA3D24" w14:textId="77777777" w:rsidR="00743255" w:rsidRPr="00743255" w:rsidRDefault="00743255" w:rsidP="00743255">
      <w:pPr>
        <w:pStyle w:val="Default"/>
        <w:spacing w:line="276" w:lineRule="auto"/>
        <w:rPr>
          <w:rFonts w:ascii="Arial" w:hAnsi="Arial" w:cs="Arial"/>
          <w:bCs/>
          <w:color w:val="auto"/>
        </w:rPr>
      </w:pPr>
    </w:p>
    <w:p w14:paraId="59387BB2" w14:textId="77777777" w:rsidR="00743255" w:rsidRPr="00743255" w:rsidRDefault="00743255" w:rsidP="00743255">
      <w:pPr>
        <w:pStyle w:val="ListParagraph"/>
        <w:numPr>
          <w:ilvl w:val="0"/>
          <w:numId w:val="28"/>
        </w:numPr>
        <w:spacing w:after="0"/>
        <w:rPr>
          <w:rFonts w:ascii="Arial" w:hAnsi="Arial" w:cs="Arial"/>
          <w:bCs/>
          <w:sz w:val="24"/>
          <w:szCs w:val="24"/>
        </w:rPr>
      </w:pPr>
      <w:r w:rsidRPr="00743255">
        <w:rPr>
          <w:rFonts w:ascii="Arial" w:hAnsi="Arial" w:cs="Arial"/>
          <w:bCs/>
          <w:sz w:val="24"/>
          <w:szCs w:val="24"/>
        </w:rPr>
        <w:t>Please update Tab 3 (Continuity Schedule) as necessary to reflect the Q4 2023 OEB-prescribed interest rate of 5.49%.</w:t>
      </w:r>
    </w:p>
    <w:p w14:paraId="031B651D" w14:textId="77777777" w:rsidR="00743255" w:rsidRDefault="00743255" w:rsidP="00AB251C">
      <w:pPr>
        <w:spacing w:after="240"/>
        <w:rPr>
          <w:rFonts w:ascii="Arial" w:hAnsi="Arial" w:cs="Arial"/>
          <w:bCs/>
          <w:sz w:val="24"/>
          <w:szCs w:val="24"/>
        </w:rPr>
      </w:pPr>
    </w:p>
    <w:p w14:paraId="200C762C" w14:textId="4A8E329D" w:rsidR="00743255" w:rsidRDefault="00743255" w:rsidP="00743255">
      <w:pPr>
        <w:spacing w:after="240"/>
        <w:rPr>
          <w:rFonts w:ascii="Arial" w:hAnsi="Arial" w:cs="Arial"/>
          <w:b/>
          <w:sz w:val="24"/>
          <w:szCs w:val="24"/>
        </w:rPr>
      </w:pPr>
      <w:r>
        <w:rPr>
          <w:rFonts w:ascii="Arial" w:hAnsi="Arial" w:cs="Arial"/>
          <w:b/>
          <w:sz w:val="24"/>
          <w:szCs w:val="24"/>
        </w:rPr>
        <w:t>Staff Question-2</w:t>
      </w:r>
    </w:p>
    <w:p w14:paraId="30113AE0" w14:textId="4E01BD4F" w:rsidR="00743255" w:rsidRDefault="00743255" w:rsidP="00900EE8">
      <w:pPr>
        <w:spacing w:after="0"/>
        <w:ind w:left="1440" w:hanging="720"/>
        <w:rPr>
          <w:rFonts w:ascii="Arial" w:hAnsi="Arial" w:cs="Arial"/>
          <w:bCs/>
          <w:sz w:val="24"/>
          <w:szCs w:val="24"/>
        </w:rPr>
      </w:pPr>
      <w:r w:rsidRPr="00743255">
        <w:rPr>
          <w:rFonts w:ascii="Arial" w:hAnsi="Arial" w:cs="Arial"/>
          <w:bCs/>
          <w:sz w:val="24"/>
          <w:szCs w:val="24"/>
        </w:rPr>
        <w:t>Ref</w:t>
      </w:r>
      <w:r>
        <w:rPr>
          <w:rFonts w:ascii="Arial" w:hAnsi="Arial" w:cs="Arial"/>
          <w:bCs/>
          <w:sz w:val="24"/>
          <w:szCs w:val="24"/>
        </w:rPr>
        <w:t xml:space="preserve"> 1: </w:t>
      </w:r>
      <w:r>
        <w:rPr>
          <w:rFonts w:ascii="Arial" w:hAnsi="Arial" w:cs="Arial"/>
          <w:bCs/>
          <w:sz w:val="24"/>
          <w:szCs w:val="24"/>
        </w:rPr>
        <w:tab/>
        <w:t>IRM Rate Generator Model, Tab 3, Continuity Schedule</w:t>
      </w:r>
      <w:r w:rsidR="007B40BA">
        <w:rPr>
          <w:rFonts w:ascii="Arial" w:hAnsi="Arial" w:cs="Arial"/>
          <w:bCs/>
          <w:sz w:val="24"/>
          <w:szCs w:val="24"/>
        </w:rPr>
        <w:t xml:space="preserve"> (Main and St. Thomas Rate Zones)</w:t>
      </w:r>
    </w:p>
    <w:p w14:paraId="7BDF4871" w14:textId="7D32697C" w:rsidR="00743255" w:rsidRDefault="00743255" w:rsidP="00900EE8">
      <w:pPr>
        <w:spacing w:after="0"/>
        <w:ind w:left="1440" w:hanging="720"/>
        <w:rPr>
          <w:rFonts w:ascii="Arial" w:hAnsi="Arial" w:cs="Arial"/>
          <w:bCs/>
          <w:sz w:val="24"/>
          <w:szCs w:val="24"/>
        </w:rPr>
      </w:pPr>
      <w:r>
        <w:rPr>
          <w:rFonts w:ascii="Arial" w:hAnsi="Arial" w:cs="Arial"/>
          <w:bCs/>
          <w:sz w:val="24"/>
          <w:szCs w:val="24"/>
        </w:rPr>
        <w:t>Ref 2:</w:t>
      </w:r>
      <w:r>
        <w:rPr>
          <w:rFonts w:ascii="Arial" w:hAnsi="Arial" w:cs="Arial"/>
          <w:bCs/>
          <w:sz w:val="24"/>
          <w:szCs w:val="24"/>
        </w:rPr>
        <w:tab/>
        <w:t>IRM Rate Generator – DVA Tabs Instructions</w:t>
      </w:r>
      <w:r w:rsidR="007B40BA">
        <w:rPr>
          <w:rFonts w:ascii="Arial" w:hAnsi="Arial" w:cs="Arial"/>
          <w:bCs/>
          <w:sz w:val="24"/>
          <w:szCs w:val="24"/>
        </w:rPr>
        <w:t xml:space="preserve"> (Main and St. Thomas Rate Zones)</w:t>
      </w:r>
    </w:p>
    <w:p w14:paraId="3BA797C0" w14:textId="23278EBF" w:rsidR="00743255" w:rsidRDefault="00743255" w:rsidP="00900EE8">
      <w:pPr>
        <w:spacing w:after="0"/>
        <w:ind w:firstLine="720"/>
        <w:rPr>
          <w:rFonts w:ascii="Arial" w:hAnsi="Arial" w:cs="Arial"/>
          <w:bCs/>
          <w:sz w:val="24"/>
          <w:szCs w:val="24"/>
        </w:rPr>
      </w:pPr>
      <w:r>
        <w:rPr>
          <w:rFonts w:ascii="Arial" w:hAnsi="Arial" w:cs="Arial"/>
          <w:bCs/>
          <w:sz w:val="24"/>
          <w:szCs w:val="24"/>
        </w:rPr>
        <w:t>Ref 3:</w:t>
      </w:r>
      <w:r>
        <w:rPr>
          <w:rFonts w:ascii="Arial" w:hAnsi="Arial" w:cs="Arial"/>
          <w:bCs/>
          <w:sz w:val="24"/>
          <w:szCs w:val="24"/>
        </w:rPr>
        <w:tab/>
        <w:t xml:space="preserve">OEB Guidance for Electricity Distributors with Forgone Revenues Due to </w:t>
      </w:r>
    </w:p>
    <w:p w14:paraId="7896CD72" w14:textId="308A107F" w:rsidR="00743255" w:rsidRDefault="00743255" w:rsidP="00900EE8">
      <w:pPr>
        <w:spacing w:after="240"/>
        <w:ind w:left="720" w:firstLine="720"/>
        <w:rPr>
          <w:rFonts w:ascii="Arial" w:hAnsi="Arial" w:cs="Arial"/>
          <w:bCs/>
          <w:sz w:val="24"/>
          <w:szCs w:val="24"/>
        </w:rPr>
      </w:pPr>
      <w:r>
        <w:rPr>
          <w:rFonts w:ascii="Arial" w:hAnsi="Arial" w:cs="Arial"/>
          <w:bCs/>
          <w:sz w:val="24"/>
          <w:szCs w:val="24"/>
        </w:rPr>
        <w:t>Postponed Rate Implementation from COVID-19, August 6, 2020, page 5</w:t>
      </w:r>
    </w:p>
    <w:p w14:paraId="260736E7" w14:textId="77777777" w:rsidR="00743255" w:rsidRPr="00743255" w:rsidRDefault="00743255" w:rsidP="00743255">
      <w:pPr>
        <w:pStyle w:val="Default"/>
        <w:spacing w:line="276" w:lineRule="auto"/>
        <w:rPr>
          <w:rFonts w:ascii="Arial" w:hAnsi="Arial" w:cs="Arial"/>
          <w:bCs/>
          <w:color w:val="auto"/>
        </w:rPr>
      </w:pPr>
      <w:r w:rsidRPr="00743255">
        <w:rPr>
          <w:rFonts w:ascii="Arial" w:hAnsi="Arial" w:cs="Arial"/>
          <w:bCs/>
          <w:color w:val="auto"/>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7DD2027F" w14:textId="77777777" w:rsidR="00743255" w:rsidRPr="00743255" w:rsidRDefault="00743255" w:rsidP="00743255">
      <w:pPr>
        <w:pStyle w:val="Default"/>
        <w:spacing w:line="276" w:lineRule="auto"/>
        <w:rPr>
          <w:rFonts w:ascii="Arial" w:hAnsi="Arial" w:cs="Arial"/>
          <w:bCs/>
          <w:color w:val="auto"/>
        </w:rPr>
      </w:pPr>
    </w:p>
    <w:p w14:paraId="7CB6C662" w14:textId="02FFA58C" w:rsidR="00743255" w:rsidRPr="00743255" w:rsidRDefault="00743255" w:rsidP="00743255">
      <w:pPr>
        <w:pStyle w:val="ListParagraph"/>
        <w:ind w:left="0"/>
        <w:rPr>
          <w:rFonts w:ascii="Arial" w:hAnsi="Arial" w:cs="Arial"/>
          <w:bCs/>
          <w:sz w:val="24"/>
          <w:szCs w:val="24"/>
        </w:rPr>
      </w:pPr>
      <w:r w:rsidRPr="00743255">
        <w:rPr>
          <w:rFonts w:ascii="Arial" w:hAnsi="Arial" w:cs="Arial"/>
          <w:bCs/>
          <w:sz w:val="24"/>
          <w:szCs w:val="24"/>
        </w:rPr>
        <w:t xml:space="preserve">Regarding Account 1509, Impacts Arising from the COVID-19 Emergency Account, Subaccount Forgone Revenues from Postponing Rate Implementation, the following steps are noted in the August 6, </w:t>
      </w:r>
      <w:proofErr w:type="gramStart"/>
      <w:r w:rsidRPr="00743255">
        <w:rPr>
          <w:rFonts w:ascii="Arial" w:hAnsi="Arial" w:cs="Arial"/>
          <w:bCs/>
          <w:sz w:val="24"/>
          <w:szCs w:val="24"/>
        </w:rPr>
        <w:t>2020</w:t>
      </w:r>
      <w:proofErr w:type="gramEnd"/>
      <w:r w:rsidRPr="00743255">
        <w:rPr>
          <w:rFonts w:ascii="Arial" w:hAnsi="Arial" w:cs="Arial"/>
          <w:bCs/>
          <w:sz w:val="24"/>
          <w:szCs w:val="24"/>
        </w:rPr>
        <w:t xml:space="preserve"> guidance:</w:t>
      </w:r>
    </w:p>
    <w:p w14:paraId="0AE58E5F" w14:textId="77777777" w:rsidR="00743255" w:rsidRPr="00743255" w:rsidRDefault="00743255" w:rsidP="00743255">
      <w:pPr>
        <w:pStyle w:val="ListParagraph"/>
        <w:ind w:left="0"/>
        <w:rPr>
          <w:rFonts w:ascii="Arial" w:hAnsi="Arial" w:cs="Arial"/>
          <w:bCs/>
          <w:sz w:val="24"/>
          <w:szCs w:val="24"/>
        </w:rPr>
      </w:pPr>
    </w:p>
    <w:p w14:paraId="2393943A" w14:textId="247EAFAC" w:rsidR="00743255" w:rsidRPr="00743255" w:rsidRDefault="00743255" w:rsidP="00743255">
      <w:pPr>
        <w:pStyle w:val="ListParagraph"/>
        <w:numPr>
          <w:ilvl w:val="0"/>
          <w:numId w:val="29"/>
        </w:numPr>
        <w:spacing w:after="160" w:line="259" w:lineRule="auto"/>
        <w:rPr>
          <w:rFonts w:ascii="Arial" w:hAnsi="Arial" w:cs="Arial"/>
          <w:bCs/>
          <w:sz w:val="24"/>
          <w:szCs w:val="24"/>
        </w:rPr>
      </w:pPr>
      <w:r w:rsidRPr="00743255">
        <w:rPr>
          <w:rFonts w:ascii="Arial" w:hAnsi="Arial" w:cs="Arial"/>
          <w:bCs/>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6FAA3402" w14:textId="77777777" w:rsidR="00743255" w:rsidRPr="00743255" w:rsidRDefault="00743255" w:rsidP="00743255">
      <w:pPr>
        <w:pStyle w:val="ListParagraph"/>
        <w:ind w:left="0"/>
        <w:rPr>
          <w:rFonts w:ascii="Arial" w:hAnsi="Arial" w:cs="Arial"/>
          <w:bCs/>
          <w:sz w:val="24"/>
          <w:szCs w:val="24"/>
        </w:rPr>
      </w:pPr>
    </w:p>
    <w:p w14:paraId="6F9A20BE" w14:textId="77777777" w:rsidR="00743255" w:rsidRPr="00743255" w:rsidRDefault="00743255" w:rsidP="00743255">
      <w:pPr>
        <w:pStyle w:val="ListParagraph"/>
        <w:numPr>
          <w:ilvl w:val="0"/>
          <w:numId w:val="29"/>
        </w:numPr>
        <w:spacing w:after="160" w:line="259" w:lineRule="auto"/>
        <w:rPr>
          <w:rFonts w:ascii="Arial" w:hAnsi="Arial" w:cs="Arial"/>
          <w:bCs/>
          <w:sz w:val="24"/>
          <w:szCs w:val="24"/>
        </w:rPr>
      </w:pPr>
      <w:r w:rsidRPr="00743255">
        <w:rPr>
          <w:rFonts w:ascii="Arial" w:hAnsi="Arial" w:cs="Arial"/>
          <w:bCs/>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06E70825" w14:textId="77777777" w:rsidR="00743255" w:rsidRPr="00743255" w:rsidRDefault="00743255" w:rsidP="00743255">
      <w:pPr>
        <w:pStyle w:val="ListParagraph"/>
        <w:ind w:left="0"/>
        <w:rPr>
          <w:rFonts w:ascii="Arial" w:hAnsi="Arial" w:cs="Arial"/>
          <w:bCs/>
          <w:sz w:val="24"/>
          <w:szCs w:val="24"/>
        </w:rPr>
      </w:pPr>
    </w:p>
    <w:p w14:paraId="6830354D" w14:textId="2B261BBA" w:rsidR="00743255" w:rsidRPr="00743255" w:rsidRDefault="00743255" w:rsidP="00743255">
      <w:pPr>
        <w:pStyle w:val="ListParagraph"/>
        <w:numPr>
          <w:ilvl w:val="0"/>
          <w:numId w:val="29"/>
        </w:numPr>
        <w:spacing w:after="160" w:line="259" w:lineRule="auto"/>
        <w:rPr>
          <w:rFonts w:ascii="Arial" w:hAnsi="Arial" w:cs="Arial"/>
          <w:bCs/>
          <w:sz w:val="24"/>
          <w:szCs w:val="24"/>
        </w:rPr>
      </w:pPr>
      <w:r w:rsidRPr="00743255">
        <w:rPr>
          <w:rFonts w:ascii="Arial" w:hAnsi="Arial" w:cs="Arial"/>
          <w:bCs/>
          <w:sz w:val="24"/>
          <w:szCs w:val="24"/>
        </w:rPr>
        <w:t>If disposition is approved, the residual balance in the Forgone Revenues Subaccount should be disposed proportionately by customer class and the residual balance will be transferred to Account 1595.</w:t>
      </w:r>
    </w:p>
    <w:p w14:paraId="1C79BE37" w14:textId="77777777" w:rsidR="00743255" w:rsidRPr="00743255" w:rsidRDefault="00743255" w:rsidP="00743255">
      <w:pPr>
        <w:pStyle w:val="Default"/>
        <w:spacing w:line="276" w:lineRule="auto"/>
        <w:rPr>
          <w:rFonts w:ascii="Arial" w:hAnsi="Arial" w:cs="Arial"/>
          <w:bCs/>
          <w:color w:val="auto"/>
        </w:rPr>
      </w:pPr>
    </w:p>
    <w:p w14:paraId="05830566" w14:textId="2CE4882E" w:rsidR="00743255" w:rsidRPr="00743255" w:rsidRDefault="00743255" w:rsidP="00743255">
      <w:pPr>
        <w:pStyle w:val="Default"/>
        <w:spacing w:line="276" w:lineRule="auto"/>
        <w:rPr>
          <w:rFonts w:ascii="Arial" w:hAnsi="Arial" w:cs="Arial"/>
          <w:bCs/>
          <w:color w:val="auto"/>
        </w:rPr>
      </w:pPr>
      <w:r w:rsidRPr="00B80D86">
        <w:rPr>
          <w:rFonts w:ascii="Arial" w:hAnsi="Arial" w:cs="Arial"/>
          <w:bCs/>
          <w:color w:val="auto"/>
          <w:u w:val="single"/>
        </w:rPr>
        <w:t>Questions</w:t>
      </w:r>
      <w:r w:rsidRPr="00743255">
        <w:rPr>
          <w:rFonts w:ascii="Arial" w:hAnsi="Arial" w:cs="Arial"/>
          <w:bCs/>
          <w:color w:val="auto"/>
        </w:rPr>
        <w:t xml:space="preserve">: </w:t>
      </w:r>
    </w:p>
    <w:p w14:paraId="0E72BD20" w14:textId="77777777" w:rsidR="00743255" w:rsidRPr="00743255" w:rsidRDefault="00743255" w:rsidP="00743255">
      <w:pPr>
        <w:pStyle w:val="Default"/>
        <w:spacing w:line="276" w:lineRule="auto"/>
        <w:rPr>
          <w:rFonts w:ascii="Arial" w:hAnsi="Arial" w:cs="Arial"/>
          <w:bCs/>
          <w:color w:val="auto"/>
        </w:rPr>
      </w:pPr>
    </w:p>
    <w:p w14:paraId="62CE2866" w14:textId="77777777" w:rsidR="00743255" w:rsidRPr="00743255" w:rsidRDefault="00743255" w:rsidP="007B40BA">
      <w:pPr>
        <w:pStyle w:val="ListParagraph"/>
        <w:numPr>
          <w:ilvl w:val="0"/>
          <w:numId w:val="30"/>
        </w:numPr>
        <w:spacing w:after="0"/>
        <w:rPr>
          <w:rFonts w:ascii="Arial" w:hAnsi="Arial" w:cs="Arial"/>
          <w:bCs/>
          <w:sz w:val="24"/>
          <w:szCs w:val="24"/>
        </w:rPr>
      </w:pPr>
      <w:r w:rsidRPr="00743255">
        <w:rPr>
          <w:rFonts w:ascii="Arial" w:hAnsi="Arial" w:cs="Arial"/>
          <w:bCs/>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19F0BE9A" w14:textId="77777777" w:rsidR="00743255" w:rsidRPr="00743255" w:rsidRDefault="00743255" w:rsidP="007B40BA">
      <w:pPr>
        <w:pStyle w:val="ListParagraph"/>
        <w:numPr>
          <w:ilvl w:val="0"/>
          <w:numId w:val="30"/>
        </w:numPr>
        <w:spacing w:after="0"/>
        <w:rPr>
          <w:rFonts w:ascii="Arial" w:hAnsi="Arial" w:cs="Arial"/>
          <w:bCs/>
          <w:sz w:val="24"/>
          <w:szCs w:val="24"/>
        </w:rPr>
      </w:pPr>
      <w:r w:rsidRPr="00743255">
        <w:rPr>
          <w:rFonts w:ascii="Arial" w:hAnsi="Arial" w:cs="Arial"/>
          <w:bCs/>
          <w:sz w:val="24"/>
          <w:szCs w:val="24"/>
        </w:rPr>
        <w:t>If this balance is not applicable, please explain.</w:t>
      </w:r>
    </w:p>
    <w:p w14:paraId="6226166E" w14:textId="77777777" w:rsidR="00743255" w:rsidRDefault="00743255" w:rsidP="00743255">
      <w:pPr>
        <w:spacing w:after="240"/>
        <w:rPr>
          <w:rFonts w:ascii="Arial" w:hAnsi="Arial" w:cs="Arial"/>
          <w:bCs/>
          <w:sz w:val="24"/>
          <w:szCs w:val="24"/>
        </w:rPr>
      </w:pPr>
    </w:p>
    <w:p w14:paraId="320C1D5C" w14:textId="42B13B40" w:rsidR="00743255" w:rsidRDefault="00743255" w:rsidP="00743255">
      <w:pPr>
        <w:spacing w:after="240"/>
        <w:rPr>
          <w:rFonts w:ascii="Arial" w:hAnsi="Arial" w:cs="Arial"/>
          <w:b/>
          <w:sz w:val="24"/>
          <w:szCs w:val="24"/>
        </w:rPr>
      </w:pPr>
      <w:r>
        <w:rPr>
          <w:rFonts w:ascii="Arial" w:hAnsi="Arial" w:cs="Arial"/>
          <w:b/>
          <w:sz w:val="24"/>
          <w:szCs w:val="24"/>
        </w:rPr>
        <w:t>Staff Question-3</w:t>
      </w:r>
    </w:p>
    <w:p w14:paraId="17390A4F" w14:textId="18812287" w:rsidR="00743255" w:rsidRDefault="00743255" w:rsidP="00900EE8">
      <w:pPr>
        <w:spacing w:after="0"/>
        <w:ind w:firstLine="720"/>
        <w:rPr>
          <w:rFonts w:ascii="Arial" w:hAnsi="Arial" w:cs="Arial"/>
          <w:bCs/>
          <w:sz w:val="24"/>
          <w:szCs w:val="24"/>
        </w:rPr>
      </w:pPr>
      <w:r w:rsidRPr="00743255">
        <w:rPr>
          <w:rFonts w:ascii="Arial" w:hAnsi="Arial" w:cs="Arial"/>
          <w:bCs/>
          <w:sz w:val="24"/>
          <w:szCs w:val="24"/>
        </w:rPr>
        <w:t>Ref</w:t>
      </w:r>
      <w:r>
        <w:rPr>
          <w:rFonts w:ascii="Arial" w:hAnsi="Arial" w:cs="Arial"/>
          <w:bCs/>
          <w:sz w:val="24"/>
          <w:szCs w:val="24"/>
        </w:rPr>
        <w:t xml:space="preserve"> 1:</w:t>
      </w:r>
      <w:r>
        <w:rPr>
          <w:rFonts w:ascii="Arial" w:hAnsi="Arial" w:cs="Arial"/>
          <w:bCs/>
          <w:sz w:val="24"/>
          <w:szCs w:val="24"/>
        </w:rPr>
        <w:tab/>
        <w:t>2024 IRM Rate Generator Model, Tabs 11, 15 and 20</w:t>
      </w:r>
    </w:p>
    <w:p w14:paraId="4FBA7C7F" w14:textId="3046A5A4" w:rsidR="00743255" w:rsidRDefault="00743255" w:rsidP="00900EE8">
      <w:pPr>
        <w:spacing w:after="0"/>
        <w:ind w:left="1440" w:hanging="720"/>
        <w:rPr>
          <w:rFonts w:ascii="Arial" w:hAnsi="Arial" w:cs="Arial"/>
          <w:bCs/>
          <w:sz w:val="24"/>
          <w:szCs w:val="24"/>
        </w:rPr>
      </w:pPr>
      <w:r>
        <w:rPr>
          <w:rFonts w:ascii="Arial" w:hAnsi="Arial" w:cs="Arial"/>
          <w:bCs/>
          <w:sz w:val="24"/>
          <w:szCs w:val="24"/>
        </w:rPr>
        <w:t>Ref 2:</w:t>
      </w:r>
      <w:r>
        <w:rPr>
          <w:rFonts w:ascii="Arial" w:hAnsi="Arial" w:cs="Arial"/>
          <w:bCs/>
          <w:sz w:val="24"/>
          <w:szCs w:val="24"/>
        </w:rPr>
        <w:tab/>
        <w:t xml:space="preserve">OEB Letter, EB-2023-0222, 2024 Preliminary Uniform Transmission Rates and Hydro One Sub-Transmission Rates, September </w:t>
      </w:r>
      <w:r w:rsidR="00381998" w:rsidRPr="002F73F0">
        <w:rPr>
          <w:rFonts w:ascii="Arial" w:hAnsi="Arial" w:cs="Arial"/>
          <w:bCs/>
          <w:sz w:val="24"/>
          <w:szCs w:val="24"/>
        </w:rPr>
        <w:t>28</w:t>
      </w:r>
      <w:r>
        <w:rPr>
          <w:rFonts w:ascii="Arial" w:hAnsi="Arial" w:cs="Arial"/>
          <w:bCs/>
          <w:sz w:val="24"/>
          <w:szCs w:val="24"/>
        </w:rPr>
        <w:t>, 2023</w:t>
      </w:r>
    </w:p>
    <w:p w14:paraId="53D548C8" w14:textId="77777777" w:rsidR="00900EE8" w:rsidRDefault="00900EE8" w:rsidP="00900EE8">
      <w:pPr>
        <w:spacing w:after="0"/>
        <w:ind w:left="1440" w:hanging="720"/>
        <w:rPr>
          <w:rFonts w:ascii="Arial" w:hAnsi="Arial" w:cs="Arial"/>
          <w:bCs/>
          <w:sz w:val="24"/>
          <w:szCs w:val="24"/>
        </w:rPr>
      </w:pPr>
    </w:p>
    <w:p w14:paraId="1A7855ED" w14:textId="76482B35" w:rsidR="007B40BA" w:rsidRDefault="00743255" w:rsidP="00743255">
      <w:pPr>
        <w:spacing w:after="240"/>
        <w:rPr>
          <w:rFonts w:ascii="Arial" w:hAnsi="Arial" w:cs="Arial"/>
          <w:bCs/>
          <w:sz w:val="24"/>
          <w:szCs w:val="24"/>
        </w:rPr>
      </w:pPr>
      <w:r>
        <w:rPr>
          <w:rFonts w:ascii="Arial" w:hAnsi="Arial" w:cs="Arial"/>
          <w:bCs/>
          <w:sz w:val="24"/>
          <w:szCs w:val="24"/>
        </w:rPr>
        <w:t xml:space="preserve">On September </w:t>
      </w:r>
      <w:r w:rsidR="00381998" w:rsidRPr="002F73F0">
        <w:rPr>
          <w:rFonts w:ascii="Arial" w:hAnsi="Arial" w:cs="Arial"/>
          <w:bCs/>
          <w:sz w:val="24"/>
          <w:szCs w:val="24"/>
        </w:rPr>
        <w:t>28</w:t>
      </w:r>
      <w:r>
        <w:rPr>
          <w:rFonts w:ascii="Arial" w:hAnsi="Arial" w:cs="Arial"/>
          <w:bCs/>
          <w:sz w:val="24"/>
          <w:szCs w:val="24"/>
        </w:rPr>
        <w:t xml:space="preserve">, </w:t>
      </w:r>
      <w:proofErr w:type="gramStart"/>
      <w:r>
        <w:rPr>
          <w:rFonts w:ascii="Arial" w:hAnsi="Arial" w:cs="Arial"/>
          <w:bCs/>
          <w:sz w:val="24"/>
          <w:szCs w:val="24"/>
        </w:rPr>
        <w:t>2023</w:t>
      </w:r>
      <w:proofErr w:type="gramEnd"/>
      <w:r w:rsidR="007B40BA">
        <w:rPr>
          <w:rFonts w:ascii="Arial" w:hAnsi="Arial" w:cs="Arial"/>
          <w:bCs/>
          <w:sz w:val="24"/>
          <w:szCs w:val="24"/>
        </w:rPr>
        <w:t xml:space="preserve"> the OEB issued a letter regarding 2024 Preliminary Uniform Transmission Rates (UTRs) and Hydro One Sub-Transmission Rates. The OEB determined the use of preliminary UTRs to calculate 2024 Retail Service Transmission Rates (RTSRs) to improve regulatory efficiency, allowing for this data to feed into the rate applications including annual updates for electricity distributors on a timelier basis. </w:t>
      </w:r>
      <w:r w:rsidR="007B40BA">
        <w:rPr>
          <w:rFonts w:ascii="Arial" w:hAnsi="Arial" w:cs="Arial"/>
          <w:bCs/>
          <w:sz w:val="24"/>
          <w:szCs w:val="24"/>
        </w:rPr>
        <w:lastRenderedPageBreak/>
        <w:t xml:space="preserve">The OEB also directed distributors to update their 2024 application with Hydro One Network Inc.’s proposed host RTSRs. </w:t>
      </w:r>
    </w:p>
    <w:p w14:paraId="2818FB8A" w14:textId="38FD3654" w:rsidR="007B40BA" w:rsidRDefault="007B40BA" w:rsidP="00743255">
      <w:pPr>
        <w:spacing w:after="240"/>
        <w:rPr>
          <w:rFonts w:ascii="Arial" w:hAnsi="Arial" w:cs="Arial"/>
          <w:bCs/>
          <w:sz w:val="24"/>
          <w:szCs w:val="24"/>
        </w:rPr>
      </w:pPr>
      <w:r>
        <w:rPr>
          <w:rFonts w:ascii="Arial" w:hAnsi="Arial" w:cs="Arial"/>
          <w:bCs/>
          <w:sz w:val="24"/>
          <w:szCs w:val="24"/>
        </w:rPr>
        <w:t xml:space="preserve">OEB staff has updated </w:t>
      </w:r>
      <w:proofErr w:type="spellStart"/>
      <w:r>
        <w:rPr>
          <w:rFonts w:ascii="Arial" w:hAnsi="Arial" w:cs="Arial"/>
          <w:bCs/>
          <w:sz w:val="24"/>
          <w:szCs w:val="24"/>
        </w:rPr>
        <w:t>Entegrus</w:t>
      </w:r>
      <w:proofErr w:type="spellEnd"/>
      <w:r>
        <w:rPr>
          <w:rFonts w:ascii="Arial" w:hAnsi="Arial" w:cs="Arial"/>
          <w:bCs/>
          <w:sz w:val="24"/>
          <w:szCs w:val="24"/>
        </w:rPr>
        <w:t>’ Rate Generators with the preliminary UTRs and proposed host RTSR by HONI as follows:</w:t>
      </w:r>
    </w:p>
    <w:p w14:paraId="1F3A03F4" w14:textId="1FD17162" w:rsidR="007B40BA" w:rsidRDefault="007B40BA" w:rsidP="00743255">
      <w:pPr>
        <w:spacing w:after="240"/>
        <w:rPr>
          <w:rFonts w:ascii="Arial" w:hAnsi="Arial" w:cs="Arial"/>
          <w:bCs/>
          <w:sz w:val="24"/>
          <w:szCs w:val="24"/>
        </w:rPr>
      </w:pPr>
      <w:r>
        <w:rPr>
          <w:rFonts w:ascii="Arial" w:hAnsi="Arial" w:cs="Arial"/>
          <w:bCs/>
          <w:sz w:val="24"/>
          <w:szCs w:val="24"/>
        </w:rPr>
        <w:t>UTRs:</w:t>
      </w:r>
    </w:p>
    <w:p w14:paraId="5E485A4D" w14:textId="5DE42082" w:rsidR="007B40BA" w:rsidRDefault="007B40BA" w:rsidP="00743255">
      <w:pPr>
        <w:spacing w:after="240"/>
        <w:rPr>
          <w:rFonts w:ascii="Arial" w:hAnsi="Arial" w:cs="Arial"/>
          <w:bCs/>
          <w:sz w:val="24"/>
          <w:szCs w:val="24"/>
        </w:rPr>
      </w:pPr>
      <w:r>
        <w:rPr>
          <w:b/>
          <w:noProof/>
        </w:rPr>
        <mc:AlternateContent>
          <mc:Choice Requires="wps">
            <w:drawing>
              <wp:anchor distT="0" distB="0" distL="114300" distR="114300" simplePos="0" relativeHeight="251662336" behindDoc="0" locked="0" layoutInCell="1" allowOverlap="1" wp14:anchorId="5D499DE8" wp14:editId="60E74EE3">
                <wp:simplePos x="0" y="0"/>
                <wp:positionH relativeFrom="column">
                  <wp:posOffset>5181599</wp:posOffset>
                </wp:positionH>
                <wp:positionV relativeFrom="paragraph">
                  <wp:posOffset>229235</wp:posOffset>
                </wp:positionV>
                <wp:extent cx="695325" cy="695325"/>
                <wp:effectExtent l="0" t="0" r="28575" b="28575"/>
                <wp:wrapNone/>
                <wp:docPr id="321308551" name="Rectangle 1"/>
                <wp:cNvGraphicFramePr/>
                <a:graphic xmlns:a="http://schemas.openxmlformats.org/drawingml/2006/main">
                  <a:graphicData uri="http://schemas.microsoft.com/office/word/2010/wordprocessingShape">
                    <wps:wsp>
                      <wps:cNvSpPr/>
                      <wps:spPr>
                        <a:xfrm>
                          <a:off x="0" y="0"/>
                          <a:ext cx="695325" cy="69532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0622D" id="Rectangle 1" o:spid="_x0000_s1026" style="position:absolute;margin-left:408pt;margin-top:18.05pt;width:54.75pt;height:5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" filled="f" strokecolor="#c00000" strokeweight="2pt"/>
            </w:pict>
          </mc:Fallback>
        </mc:AlternateContent>
      </w:r>
      <w:r w:rsidRPr="00C264D2">
        <w:rPr>
          <w:b/>
          <w:noProof/>
        </w:rPr>
        <w:drawing>
          <wp:inline distT="0" distB="0" distL="0" distR="0" wp14:anchorId="21609E57" wp14:editId="13BFF478">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8"/>
                    <a:stretch>
                      <a:fillRect/>
                    </a:stretch>
                  </pic:blipFill>
                  <pic:spPr>
                    <a:xfrm>
                      <a:off x="0" y="0"/>
                      <a:ext cx="5943600" cy="970280"/>
                    </a:xfrm>
                    <a:prstGeom prst="rect">
                      <a:avLst/>
                    </a:prstGeom>
                  </pic:spPr>
                </pic:pic>
              </a:graphicData>
            </a:graphic>
          </wp:inline>
        </w:drawing>
      </w:r>
    </w:p>
    <w:p w14:paraId="2B3F441D" w14:textId="6EABBC3B" w:rsidR="007B40BA" w:rsidRDefault="007B40BA" w:rsidP="00743255">
      <w:pPr>
        <w:spacing w:after="240"/>
        <w:rPr>
          <w:rFonts w:ascii="Arial" w:hAnsi="Arial" w:cs="Arial"/>
          <w:bCs/>
          <w:sz w:val="24"/>
          <w:szCs w:val="24"/>
        </w:rPr>
      </w:pPr>
      <w:r>
        <w:rPr>
          <w:rFonts w:ascii="Arial" w:hAnsi="Arial" w:cs="Arial"/>
          <w:bCs/>
          <w:sz w:val="24"/>
          <w:szCs w:val="24"/>
        </w:rPr>
        <w:t>Hydro One Sub-Transmission Rates:</w:t>
      </w:r>
      <w:r w:rsidRPr="007B40BA">
        <w:rPr>
          <w:b/>
          <w:noProof/>
        </w:rPr>
        <w:t xml:space="preserve"> </w:t>
      </w:r>
    </w:p>
    <w:p w14:paraId="0DF9248F" w14:textId="4D610883" w:rsidR="00743255" w:rsidRDefault="007B40BA" w:rsidP="00743255">
      <w:pPr>
        <w:spacing w:after="240"/>
        <w:rPr>
          <w:rFonts w:ascii="Arial" w:hAnsi="Arial" w:cs="Arial"/>
          <w:bCs/>
          <w:sz w:val="24"/>
          <w:szCs w:val="24"/>
        </w:rPr>
      </w:pPr>
      <w:r>
        <w:rPr>
          <w:b/>
          <w:noProof/>
        </w:rPr>
        <mc:AlternateContent>
          <mc:Choice Requires="wps">
            <w:drawing>
              <wp:anchor distT="0" distB="0" distL="114300" distR="114300" simplePos="0" relativeHeight="251664384" behindDoc="0" locked="0" layoutInCell="1" allowOverlap="1" wp14:anchorId="188B737F" wp14:editId="49968B57">
                <wp:simplePos x="0" y="0"/>
                <wp:positionH relativeFrom="column">
                  <wp:posOffset>5143499</wp:posOffset>
                </wp:positionH>
                <wp:positionV relativeFrom="paragraph">
                  <wp:posOffset>192405</wp:posOffset>
                </wp:positionV>
                <wp:extent cx="695325" cy="885825"/>
                <wp:effectExtent l="0" t="0" r="28575" b="28575"/>
                <wp:wrapNone/>
                <wp:docPr id="1822443259" name="Rectangle 1"/>
                <wp:cNvGraphicFramePr/>
                <a:graphic xmlns:a="http://schemas.openxmlformats.org/drawingml/2006/main">
                  <a:graphicData uri="http://schemas.microsoft.com/office/word/2010/wordprocessingShape">
                    <wps:wsp>
                      <wps:cNvSpPr/>
                      <wps:spPr>
                        <a:xfrm>
                          <a:off x="0" y="0"/>
                          <a:ext cx="695325" cy="88582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277F" id="Rectangle 1" o:spid="_x0000_s1026" style="position:absolute;margin-left:405pt;margin-top:15.15pt;width:54.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" filled="f" strokecolor="#c00000" strokeweight="2pt"/>
            </w:pict>
          </mc:Fallback>
        </mc:AlternateContent>
      </w:r>
      <w:r w:rsidRPr="00C264D2">
        <w:rPr>
          <w:b/>
          <w:bCs/>
          <w:noProof/>
        </w:rPr>
        <w:drawing>
          <wp:inline distT="0" distB="0" distL="0" distR="0" wp14:anchorId="5F90719F" wp14:editId="4AF5CE5B">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9"/>
                    <a:stretch>
                      <a:fillRect/>
                    </a:stretch>
                  </pic:blipFill>
                  <pic:spPr>
                    <a:xfrm>
                      <a:off x="0" y="0"/>
                      <a:ext cx="5943600" cy="1124585"/>
                    </a:xfrm>
                    <a:prstGeom prst="rect">
                      <a:avLst/>
                    </a:prstGeom>
                  </pic:spPr>
                </pic:pic>
              </a:graphicData>
            </a:graphic>
          </wp:inline>
        </w:drawing>
      </w:r>
      <w:r>
        <w:rPr>
          <w:rFonts w:ascii="Arial" w:hAnsi="Arial" w:cs="Arial"/>
          <w:bCs/>
          <w:sz w:val="24"/>
          <w:szCs w:val="24"/>
        </w:rPr>
        <w:t xml:space="preserve"> </w:t>
      </w:r>
    </w:p>
    <w:p w14:paraId="6570DA22" w14:textId="24142C2C" w:rsidR="007B40BA" w:rsidRPr="00743255" w:rsidRDefault="007B40BA" w:rsidP="007B40BA">
      <w:pPr>
        <w:pStyle w:val="Default"/>
        <w:spacing w:line="276" w:lineRule="auto"/>
        <w:rPr>
          <w:rFonts w:ascii="Arial" w:hAnsi="Arial" w:cs="Arial"/>
          <w:bCs/>
          <w:color w:val="auto"/>
        </w:rPr>
      </w:pPr>
      <w:r w:rsidRPr="00B80D86">
        <w:rPr>
          <w:rFonts w:ascii="Arial" w:hAnsi="Arial" w:cs="Arial"/>
          <w:bCs/>
          <w:color w:val="auto"/>
          <w:u w:val="single"/>
        </w:rPr>
        <w:t>Question</w:t>
      </w:r>
      <w:r w:rsidRPr="00743255">
        <w:rPr>
          <w:rFonts w:ascii="Arial" w:hAnsi="Arial" w:cs="Arial"/>
          <w:bCs/>
          <w:color w:val="auto"/>
        </w:rPr>
        <w:t xml:space="preserve">: </w:t>
      </w:r>
    </w:p>
    <w:p w14:paraId="356D39EC" w14:textId="77777777" w:rsidR="007B40BA" w:rsidRPr="00743255" w:rsidRDefault="007B40BA" w:rsidP="007B40BA">
      <w:pPr>
        <w:pStyle w:val="Default"/>
        <w:spacing w:line="276" w:lineRule="auto"/>
        <w:rPr>
          <w:rFonts w:ascii="Arial" w:hAnsi="Arial" w:cs="Arial"/>
          <w:bCs/>
          <w:color w:val="auto"/>
        </w:rPr>
      </w:pPr>
    </w:p>
    <w:p w14:paraId="438F1A2C" w14:textId="347BDB06" w:rsidR="007B40BA" w:rsidRDefault="007B40BA" w:rsidP="007B40BA">
      <w:pPr>
        <w:pStyle w:val="ListParagraph"/>
        <w:numPr>
          <w:ilvl w:val="0"/>
          <w:numId w:val="31"/>
        </w:numPr>
        <w:spacing w:after="240"/>
        <w:rPr>
          <w:rFonts w:ascii="Arial" w:hAnsi="Arial" w:cs="Arial"/>
          <w:bCs/>
          <w:sz w:val="24"/>
          <w:szCs w:val="24"/>
        </w:rPr>
      </w:pPr>
      <w:r w:rsidRPr="007B40BA">
        <w:rPr>
          <w:rFonts w:ascii="Arial" w:hAnsi="Arial" w:cs="Arial"/>
          <w:bCs/>
          <w:sz w:val="24"/>
          <w:szCs w:val="24"/>
        </w:rPr>
        <w:t>Please</w:t>
      </w:r>
      <w:r>
        <w:rPr>
          <w:rFonts w:ascii="Arial" w:hAnsi="Arial" w:cs="Arial"/>
          <w:bCs/>
          <w:sz w:val="24"/>
          <w:szCs w:val="24"/>
        </w:rPr>
        <w:t xml:space="preserve"> confirm the accuracy of the Rate Generator update, as well as the accuracy of the resulting Retail Transmission Service Rates following these updates.</w:t>
      </w:r>
    </w:p>
    <w:p w14:paraId="046BE524" w14:textId="77777777" w:rsidR="007B40BA" w:rsidRPr="007B40BA" w:rsidRDefault="007B40BA" w:rsidP="007B40BA">
      <w:pPr>
        <w:pStyle w:val="ListParagraph"/>
        <w:spacing w:after="240"/>
        <w:ind w:left="0"/>
        <w:rPr>
          <w:rFonts w:ascii="Arial" w:hAnsi="Arial" w:cs="Arial"/>
          <w:bCs/>
          <w:sz w:val="24"/>
          <w:szCs w:val="24"/>
        </w:rPr>
      </w:pPr>
    </w:p>
    <w:p w14:paraId="669E7A26" w14:textId="16842364" w:rsidR="00BA2572" w:rsidRPr="007B40BA" w:rsidRDefault="00BA2572" w:rsidP="002F73F0">
      <w:pPr>
        <w:rPr>
          <w:rFonts w:ascii="Arial" w:hAnsi="Arial" w:cs="Arial"/>
          <w:b/>
          <w:sz w:val="24"/>
          <w:szCs w:val="24"/>
        </w:rPr>
      </w:pPr>
      <w:r w:rsidRPr="007B40BA">
        <w:rPr>
          <w:rFonts w:ascii="Arial" w:hAnsi="Arial" w:cs="Arial"/>
          <w:b/>
          <w:sz w:val="24"/>
          <w:szCs w:val="24"/>
        </w:rPr>
        <w:t>Staff Question-</w:t>
      </w:r>
      <w:r w:rsidR="002C57DB">
        <w:rPr>
          <w:rFonts w:ascii="Arial" w:hAnsi="Arial" w:cs="Arial"/>
          <w:b/>
          <w:sz w:val="24"/>
          <w:szCs w:val="24"/>
        </w:rPr>
        <w:t>4</w:t>
      </w:r>
    </w:p>
    <w:p w14:paraId="68C0FE3C" w14:textId="1C223E70" w:rsidR="00BA2572" w:rsidRDefault="00BA2572" w:rsidP="00BA2572">
      <w:pPr>
        <w:spacing w:after="0"/>
        <w:ind w:left="1440" w:hanging="720"/>
        <w:rPr>
          <w:rFonts w:ascii="Arial" w:hAnsi="Arial" w:cs="Arial"/>
          <w:bCs/>
          <w:sz w:val="24"/>
          <w:szCs w:val="24"/>
        </w:rPr>
      </w:pPr>
      <w:r w:rsidRPr="00900EE8">
        <w:rPr>
          <w:rFonts w:ascii="Arial" w:hAnsi="Arial" w:cs="Arial"/>
          <w:bCs/>
          <w:sz w:val="24"/>
          <w:szCs w:val="24"/>
        </w:rPr>
        <w:t>Ref:</w:t>
      </w:r>
      <w:r w:rsidRPr="00900EE8">
        <w:rPr>
          <w:rFonts w:ascii="Arial" w:hAnsi="Arial" w:cs="Arial"/>
          <w:bCs/>
          <w:sz w:val="24"/>
          <w:szCs w:val="24"/>
        </w:rPr>
        <w:tab/>
      </w:r>
      <w:r>
        <w:rPr>
          <w:rFonts w:ascii="Arial" w:hAnsi="Arial" w:cs="Arial"/>
          <w:bCs/>
          <w:sz w:val="24"/>
          <w:szCs w:val="24"/>
        </w:rPr>
        <w:t xml:space="preserve">GA </w:t>
      </w:r>
      <w:proofErr w:type="spellStart"/>
      <w:r>
        <w:rPr>
          <w:rFonts w:ascii="Arial" w:hAnsi="Arial" w:cs="Arial"/>
          <w:bCs/>
          <w:sz w:val="24"/>
          <w:szCs w:val="24"/>
        </w:rPr>
        <w:t>Workform</w:t>
      </w:r>
      <w:proofErr w:type="spellEnd"/>
      <w:r>
        <w:rPr>
          <w:rFonts w:ascii="Arial" w:hAnsi="Arial" w:cs="Arial"/>
          <w:bCs/>
          <w:sz w:val="24"/>
          <w:szCs w:val="24"/>
        </w:rPr>
        <w:t>, Principal Adjustments Tab (Main Rate Zone)</w:t>
      </w:r>
    </w:p>
    <w:p w14:paraId="4EE63C5B" w14:textId="77777777" w:rsidR="00BA2572" w:rsidRDefault="00BA2572" w:rsidP="00BA2572">
      <w:pPr>
        <w:spacing w:after="0"/>
        <w:ind w:left="1440" w:hanging="720"/>
        <w:rPr>
          <w:rFonts w:ascii="Arial" w:hAnsi="Arial" w:cs="Arial"/>
          <w:bCs/>
          <w:sz w:val="24"/>
          <w:szCs w:val="24"/>
        </w:rPr>
      </w:pPr>
    </w:p>
    <w:p w14:paraId="71A652DC" w14:textId="19436A8F" w:rsidR="00BA2572" w:rsidRDefault="00BA2572" w:rsidP="00BA2572">
      <w:pPr>
        <w:spacing w:after="0"/>
        <w:rPr>
          <w:rFonts w:ascii="Arial" w:hAnsi="Arial" w:cs="Arial"/>
          <w:bCs/>
          <w:sz w:val="24"/>
          <w:szCs w:val="24"/>
        </w:rPr>
      </w:pPr>
      <w:r>
        <w:rPr>
          <w:rFonts w:ascii="Arial" w:hAnsi="Arial" w:cs="Arial"/>
          <w:bCs/>
          <w:sz w:val="24"/>
          <w:szCs w:val="24"/>
        </w:rPr>
        <w:t xml:space="preserve">The principal adjustments relating to CT 148 are expected to be equal and offsetting between Account 1589 – RSVA Global Adjustment and Account 1588 – RSVA Power. </w:t>
      </w:r>
    </w:p>
    <w:p w14:paraId="14C5C007" w14:textId="77777777" w:rsidR="00BA2572" w:rsidRPr="00900EE8" w:rsidRDefault="00BA2572" w:rsidP="00BA2572">
      <w:pPr>
        <w:spacing w:after="0"/>
        <w:rPr>
          <w:rFonts w:ascii="Arial" w:hAnsi="Arial" w:cs="Arial"/>
          <w:bCs/>
          <w:sz w:val="24"/>
          <w:szCs w:val="24"/>
        </w:rPr>
      </w:pPr>
    </w:p>
    <w:p w14:paraId="01649AFF" w14:textId="77777777" w:rsidR="00BA2572" w:rsidRPr="00743255" w:rsidRDefault="00BA2572" w:rsidP="00BA2572">
      <w:pPr>
        <w:pStyle w:val="Default"/>
        <w:spacing w:line="276" w:lineRule="auto"/>
        <w:rPr>
          <w:rFonts w:ascii="Arial" w:hAnsi="Arial" w:cs="Arial"/>
          <w:bCs/>
          <w:color w:val="auto"/>
        </w:rPr>
      </w:pPr>
      <w:r w:rsidRPr="00B80D86">
        <w:rPr>
          <w:rFonts w:ascii="Arial" w:hAnsi="Arial" w:cs="Arial"/>
          <w:bCs/>
          <w:color w:val="auto"/>
          <w:u w:val="single"/>
        </w:rPr>
        <w:t>Question</w:t>
      </w:r>
      <w:r w:rsidRPr="00743255">
        <w:rPr>
          <w:rFonts w:ascii="Arial" w:hAnsi="Arial" w:cs="Arial"/>
          <w:bCs/>
          <w:color w:val="auto"/>
        </w:rPr>
        <w:t xml:space="preserve">: </w:t>
      </w:r>
    </w:p>
    <w:p w14:paraId="0B9AE2EF" w14:textId="77777777" w:rsidR="00BA2572" w:rsidRPr="00743255" w:rsidRDefault="00BA2572" w:rsidP="00BA2572">
      <w:pPr>
        <w:pStyle w:val="Default"/>
        <w:spacing w:line="276" w:lineRule="auto"/>
        <w:rPr>
          <w:rFonts w:ascii="Arial" w:hAnsi="Arial" w:cs="Arial"/>
          <w:bCs/>
          <w:color w:val="auto"/>
        </w:rPr>
      </w:pPr>
    </w:p>
    <w:p w14:paraId="5000AA70" w14:textId="7042E9A3" w:rsidR="00BA2572" w:rsidRDefault="00BA2572" w:rsidP="00BA2572">
      <w:pPr>
        <w:pStyle w:val="ListParagraph"/>
        <w:numPr>
          <w:ilvl w:val="0"/>
          <w:numId w:val="33"/>
        </w:numPr>
        <w:spacing w:after="240"/>
        <w:rPr>
          <w:rFonts w:ascii="Arial" w:hAnsi="Arial" w:cs="Arial"/>
          <w:bCs/>
          <w:sz w:val="24"/>
          <w:szCs w:val="24"/>
        </w:rPr>
      </w:pPr>
      <w:r w:rsidRPr="007B40BA">
        <w:rPr>
          <w:rFonts w:ascii="Arial" w:hAnsi="Arial" w:cs="Arial"/>
          <w:bCs/>
          <w:sz w:val="24"/>
          <w:szCs w:val="24"/>
        </w:rPr>
        <w:t>Please</w:t>
      </w:r>
      <w:r>
        <w:rPr>
          <w:rFonts w:ascii="Arial" w:hAnsi="Arial" w:cs="Arial"/>
          <w:bCs/>
          <w:sz w:val="24"/>
          <w:szCs w:val="24"/>
        </w:rPr>
        <w:t xml:space="preserve"> confirm the submitted values and if applicable, explain the variance.</w:t>
      </w:r>
    </w:p>
    <w:p w14:paraId="37C6AA16" w14:textId="77777777" w:rsidR="00852887" w:rsidRDefault="00852887" w:rsidP="00852887">
      <w:pPr>
        <w:pStyle w:val="ListParagraph"/>
        <w:spacing w:after="240"/>
        <w:ind w:left="0"/>
        <w:rPr>
          <w:rFonts w:ascii="Arial" w:hAnsi="Arial" w:cs="Arial"/>
          <w:bCs/>
          <w:sz w:val="24"/>
          <w:szCs w:val="24"/>
        </w:rPr>
      </w:pPr>
    </w:p>
    <w:p w14:paraId="499535A2" w14:textId="5854CAC3" w:rsidR="00852887" w:rsidRPr="007B40BA" w:rsidRDefault="00852887" w:rsidP="00852887">
      <w:pPr>
        <w:spacing w:after="240"/>
        <w:rPr>
          <w:rFonts w:ascii="Arial" w:hAnsi="Arial" w:cs="Arial"/>
          <w:b/>
          <w:sz w:val="24"/>
          <w:szCs w:val="24"/>
        </w:rPr>
      </w:pPr>
      <w:r w:rsidRPr="007B40BA">
        <w:rPr>
          <w:rFonts w:ascii="Arial" w:hAnsi="Arial" w:cs="Arial"/>
          <w:b/>
          <w:sz w:val="24"/>
          <w:szCs w:val="24"/>
        </w:rPr>
        <w:lastRenderedPageBreak/>
        <w:t>Staff Question-</w:t>
      </w:r>
      <w:r w:rsidR="002C57DB">
        <w:rPr>
          <w:rFonts w:ascii="Arial" w:hAnsi="Arial" w:cs="Arial"/>
          <w:b/>
          <w:sz w:val="24"/>
          <w:szCs w:val="24"/>
        </w:rPr>
        <w:t>5</w:t>
      </w:r>
    </w:p>
    <w:p w14:paraId="47BECC78" w14:textId="122AB5D7" w:rsidR="00DC7CC4" w:rsidRDefault="00852887" w:rsidP="00852887">
      <w:pPr>
        <w:spacing w:after="0"/>
        <w:ind w:left="1440" w:hanging="720"/>
        <w:rPr>
          <w:rFonts w:ascii="Arial" w:hAnsi="Arial" w:cs="Arial"/>
          <w:bCs/>
          <w:sz w:val="24"/>
          <w:szCs w:val="24"/>
        </w:rPr>
      </w:pPr>
      <w:r w:rsidRPr="00900EE8">
        <w:rPr>
          <w:rFonts w:ascii="Arial" w:hAnsi="Arial" w:cs="Arial"/>
          <w:bCs/>
          <w:sz w:val="24"/>
          <w:szCs w:val="24"/>
        </w:rPr>
        <w:t>Ref</w:t>
      </w:r>
      <w:r w:rsidR="00DC7CC4">
        <w:rPr>
          <w:rFonts w:ascii="Arial" w:hAnsi="Arial" w:cs="Arial"/>
          <w:bCs/>
          <w:sz w:val="24"/>
          <w:szCs w:val="24"/>
        </w:rPr>
        <w:t xml:space="preserve"> 1</w:t>
      </w:r>
      <w:r w:rsidRPr="00900EE8">
        <w:rPr>
          <w:rFonts w:ascii="Arial" w:hAnsi="Arial" w:cs="Arial"/>
          <w:bCs/>
          <w:sz w:val="24"/>
          <w:szCs w:val="24"/>
        </w:rPr>
        <w:t>:</w:t>
      </w:r>
      <w:r w:rsidRPr="00900EE8">
        <w:rPr>
          <w:rFonts w:ascii="Arial" w:hAnsi="Arial" w:cs="Arial"/>
          <w:bCs/>
          <w:sz w:val="24"/>
          <w:szCs w:val="24"/>
        </w:rPr>
        <w:tab/>
      </w:r>
      <w:r w:rsidR="00A52491">
        <w:rPr>
          <w:rFonts w:ascii="Arial" w:hAnsi="Arial" w:cs="Arial"/>
          <w:bCs/>
          <w:sz w:val="24"/>
          <w:szCs w:val="24"/>
        </w:rPr>
        <w:t xml:space="preserve">Manager’s Summary </w:t>
      </w:r>
      <w:r w:rsidR="00DC7CC4">
        <w:rPr>
          <w:rFonts w:ascii="Arial" w:hAnsi="Arial" w:cs="Arial"/>
          <w:bCs/>
          <w:sz w:val="24"/>
          <w:szCs w:val="24"/>
        </w:rPr>
        <w:t>section 6.3.8 and 6.3.9 (Main Rate Zone)</w:t>
      </w:r>
    </w:p>
    <w:p w14:paraId="155A6AFC" w14:textId="707C451B" w:rsidR="00DC7CC4" w:rsidRDefault="00DC7CC4" w:rsidP="00852887">
      <w:pPr>
        <w:spacing w:after="0"/>
        <w:ind w:left="1440" w:hanging="720"/>
        <w:rPr>
          <w:rFonts w:ascii="Arial" w:hAnsi="Arial" w:cs="Arial"/>
          <w:bCs/>
          <w:sz w:val="24"/>
          <w:szCs w:val="24"/>
        </w:rPr>
      </w:pPr>
      <w:r>
        <w:rPr>
          <w:rFonts w:ascii="Arial" w:hAnsi="Arial" w:cs="Arial"/>
          <w:bCs/>
          <w:sz w:val="24"/>
          <w:szCs w:val="24"/>
        </w:rPr>
        <w:t>Ref 2: Rate Generator Model, Tabs 6 and 6.1a (Main Rate Zone)</w:t>
      </w:r>
    </w:p>
    <w:p w14:paraId="7C376908" w14:textId="0E2AC23A" w:rsidR="00852887" w:rsidRDefault="00DC7CC4" w:rsidP="00852887">
      <w:pPr>
        <w:spacing w:after="0"/>
        <w:ind w:left="1440" w:hanging="720"/>
        <w:rPr>
          <w:rFonts w:ascii="Arial" w:hAnsi="Arial" w:cs="Arial"/>
          <w:bCs/>
          <w:sz w:val="24"/>
          <w:szCs w:val="24"/>
        </w:rPr>
      </w:pPr>
      <w:r>
        <w:rPr>
          <w:rFonts w:ascii="Arial" w:hAnsi="Arial" w:cs="Arial"/>
          <w:bCs/>
          <w:sz w:val="24"/>
          <w:szCs w:val="24"/>
        </w:rPr>
        <w:t>Ref 3:</w:t>
      </w:r>
      <w:r>
        <w:rPr>
          <w:rFonts w:ascii="Arial" w:hAnsi="Arial" w:cs="Arial"/>
          <w:bCs/>
          <w:sz w:val="24"/>
          <w:szCs w:val="24"/>
        </w:rPr>
        <w:tab/>
      </w:r>
      <w:r w:rsidR="00A52491">
        <w:rPr>
          <w:rFonts w:ascii="Arial" w:hAnsi="Arial" w:cs="Arial"/>
          <w:bCs/>
          <w:sz w:val="24"/>
          <w:szCs w:val="24"/>
        </w:rPr>
        <w:t xml:space="preserve">Manager’s Summary </w:t>
      </w:r>
      <w:r>
        <w:rPr>
          <w:rFonts w:ascii="Arial" w:hAnsi="Arial" w:cs="Arial"/>
          <w:bCs/>
          <w:sz w:val="24"/>
          <w:szCs w:val="24"/>
        </w:rPr>
        <w:t xml:space="preserve">section 7.3.8 and 7.3.9 (St. Thomas Rate Zone) </w:t>
      </w:r>
    </w:p>
    <w:p w14:paraId="3355F2C8" w14:textId="787F5E92" w:rsidR="00DC7CC4" w:rsidRDefault="00DC7CC4" w:rsidP="00852887">
      <w:pPr>
        <w:spacing w:after="0"/>
        <w:ind w:left="1440" w:hanging="720"/>
        <w:rPr>
          <w:rFonts w:ascii="Arial" w:hAnsi="Arial" w:cs="Arial"/>
          <w:bCs/>
          <w:sz w:val="24"/>
          <w:szCs w:val="24"/>
        </w:rPr>
      </w:pPr>
      <w:r>
        <w:rPr>
          <w:rFonts w:ascii="Arial" w:hAnsi="Arial" w:cs="Arial"/>
          <w:bCs/>
          <w:sz w:val="24"/>
          <w:szCs w:val="24"/>
        </w:rPr>
        <w:t>Ref 4: Rate Generator Model, Tabs 6 and 6.1.a (St. Thomas Rate Zone)</w:t>
      </w:r>
    </w:p>
    <w:p w14:paraId="74C5484C" w14:textId="77777777" w:rsidR="00852887" w:rsidRDefault="00852887" w:rsidP="00852887">
      <w:pPr>
        <w:spacing w:after="0"/>
        <w:ind w:left="1440" w:hanging="720"/>
        <w:rPr>
          <w:rFonts w:ascii="Arial" w:hAnsi="Arial" w:cs="Arial"/>
          <w:bCs/>
          <w:sz w:val="24"/>
          <w:szCs w:val="24"/>
        </w:rPr>
      </w:pPr>
    </w:p>
    <w:p w14:paraId="4F737722" w14:textId="1B49311A" w:rsidR="00852887" w:rsidRDefault="00E6286E" w:rsidP="00852887">
      <w:pPr>
        <w:spacing w:after="0"/>
        <w:rPr>
          <w:rFonts w:ascii="Arial" w:hAnsi="Arial" w:cs="Arial"/>
          <w:bCs/>
          <w:sz w:val="24"/>
          <w:szCs w:val="24"/>
        </w:rPr>
      </w:pPr>
      <w:r>
        <w:rPr>
          <w:rFonts w:ascii="Arial" w:hAnsi="Arial" w:cs="Arial"/>
          <w:bCs/>
          <w:sz w:val="24"/>
          <w:szCs w:val="24"/>
        </w:rPr>
        <w:t xml:space="preserve">The </w:t>
      </w:r>
      <w:r w:rsidR="00A52491">
        <w:rPr>
          <w:rFonts w:ascii="Arial" w:hAnsi="Arial" w:cs="Arial"/>
          <w:bCs/>
          <w:sz w:val="24"/>
          <w:szCs w:val="24"/>
        </w:rPr>
        <w:t xml:space="preserve">Manager’s Summary </w:t>
      </w:r>
      <w:r>
        <w:rPr>
          <w:rFonts w:ascii="Arial" w:hAnsi="Arial" w:cs="Arial"/>
          <w:bCs/>
          <w:sz w:val="24"/>
          <w:szCs w:val="24"/>
        </w:rPr>
        <w:t>and Rate Generator Models contain conflicting references to the number of transitional customers during 2022.</w:t>
      </w:r>
      <w:r w:rsidR="00041509">
        <w:rPr>
          <w:rFonts w:ascii="Arial" w:hAnsi="Arial" w:cs="Arial"/>
          <w:bCs/>
          <w:sz w:val="24"/>
          <w:szCs w:val="24"/>
        </w:rPr>
        <w:t xml:space="preserve"> For the Main Rate Zone, there are references to 6 and 12 transitional customers. For the St. Thomas Rate Zone, there are references to 2 and 3 transitional customers.</w:t>
      </w:r>
    </w:p>
    <w:p w14:paraId="1BAE2001" w14:textId="77777777" w:rsidR="00852887" w:rsidRPr="00900EE8" w:rsidRDefault="00852887" w:rsidP="00852887">
      <w:pPr>
        <w:spacing w:after="0"/>
        <w:rPr>
          <w:rFonts w:ascii="Arial" w:hAnsi="Arial" w:cs="Arial"/>
          <w:bCs/>
          <w:sz w:val="24"/>
          <w:szCs w:val="24"/>
        </w:rPr>
      </w:pPr>
    </w:p>
    <w:p w14:paraId="020E993D" w14:textId="77777777" w:rsidR="00852887" w:rsidRPr="00743255" w:rsidRDefault="00852887" w:rsidP="00852887">
      <w:pPr>
        <w:pStyle w:val="Default"/>
        <w:spacing w:line="276" w:lineRule="auto"/>
        <w:rPr>
          <w:rFonts w:ascii="Arial" w:hAnsi="Arial" w:cs="Arial"/>
          <w:bCs/>
          <w:color w:val="auto"/>
        </w:rPr>
      </w:pPr>
      <w:r w:rsidRPr="00B80D86">
        <w:rPr>
          <w:rFonts w:ascii="Arial" w:hAnsi="Arial" w:cs="Arial"/>
          <w:bCs/>
          <w:color w:val="auto"/>
          <w:u w:val="single"/>
        </w:rPr>
        <w:t>Question</w:t>
      </w:r>
      <w:r w:rsidRPr="00743255">
        <w:rPr>
          <w:rFonts w:ascii="Arial" w:hAnsi="Arial" w:cs="Arial"/>
          <w:bCs/>
          <w:color w:val="auto"/>
        </w:rPr>
        <w:t xml:space="preserve">: </w:t>
      </w:r>
    </w:p>
    <w:p w14:paraId="05196898" w14:textId="77777777" w:rsidR="00852887" w:rsidRPr="00743255" w:rsidRDefault="00852887" w:rsidP="00852887">
      <w:pPr>
        <w:pStyle w:val="Default"/>
        <w:spacing w:line="276" w:lineRule="auto"/>
        <w:rPr>
          <w:rFonts w:ascii="Arial" w:hAnsi="Arial" w:cs="Arial"/>
          <w:bCs/>
          <w:color w:val="auto"/>
        </w:rPr>
      </w:pPr>
    </w:p>
    <w:p w14:paraId="45519A6F" w14:textId="4E82ACEA" w:rsidR="00BA2572" w:rsidRDefault="00E6286E" w:rsidP="002C57DB">
      <w:pPr>
        <w:pStyle w:val="ListParagraph"/>
        <w:numPr>
          <w:ilvl w:val="0"/>
          <w:numId w:val="34"/>
        </w:numPr>
        <w:spacing w:after="240"/>
        <w:rPr>
          <w:rFonts w:ascii="Arial" w:hAnsi="Arial" w:cs="Arial"/>
          <w:bCs/>
          <w:sz w:val="24"/>
          <w:szCs w:val="24"/>
        </w:rPr>
      </w:pPr>
      <w:r>
        <w:rPr>
          <w:rFonts w:ascii="Arial" w:hAnsi="Arial" w:cs="Arial"/>
          <w:bCs/>
          <w:sz w:val="24"/>
          <w:szCs w:val="24"/>
        </w:rPr>
        <w:t>For the record, please confirm there were 6 transitional customers for the Main Rate Zone, and 2 transitional customers for the St. Thomas Rate Zone</w:t>
      </w:r>
      <w:r w:rsidR="000A37DD">
        <w:rPr>
          <w:rFonts w:ascii="Arial" w:hAnsi="Arial" w:cs="Arial"/>
          <w:bCs/>
          <w:sz w:val="24"/>
          <w:szCs w:val="24"/>
        </w:rPr>
        <w:t xml:space="preserve"> during 2022</w:t>
      </w:r>
      <w:r>
        <w:rPr>
          <w:rFonts w:ascii="Arial" w:hAnsi="Arial" w:cs="Arial"/>
          <w:bCs/>
          <w:sz w:val="24"/>
          <w:szCs w:val="24"/>
        </w:rPr>
        <w:t>.</w:t>
      </w:r>
    </w:p>
    <w:p w14:paraId="10AFAE4F" w14:textId="26DBA72A" w:rsidR="00F30E6C" w:rsidRDefault="00F30E6C" w:rsidP="002F73F0">
      <w:pPr>
        <w:pStyle w:val="ListParagraph"/>
        <w:spacing w:after="240"/>
      </w:pPr>
    </w:p>
    <w:p w14:paraId="0416E4BA" w14:textId="123A2916" w:rsidR="00A52491" w:rsidRPr="002F73F0" w:rsidRDefault="00A52491" w:rsidP="00DB0DBD">
      <w:pPr>
        <w:spacing w:after="240"/>
        <w:rPr>
          <w:rFonts w:ascii="Arial" w:hAnsi="Arial" w:cs="Arial"/>
          <w:b/>
          <w:sz w:val="24"/>
          <w:szCs w:val="24"/>
        </w:rPr>
      </w:pPr>
      <w:r w:rsidRPr="002F73F0">
        <w:rPr>
          <w:rFonts w:ascii="Arial" w:hAnsi="Arial" w:cs="Arial"/>
          <w:b/>
          <w:sz w:val="24"/>
          <w:szCs w:val="24"/>
        </w:rPr>
        <w:t>Staff Question-</w:t>
      </w:r>
      <w:r w:rsidR="002C57DB" w:rsidRPr="002F73F0">
        <w:rPr>
          <w:rFonts w:ascii="Arial" w:hAnsi="Arial" w:cs="Arial"/>
          <w:b/>
          <w:sz w:val="24"/>
          <w:szCs w:val="24"/>
        </w:rPr>
        <w:t>6</w:t>
      </w:r>
    </w:p>
    <w:p w14:paraId="3A31A537" w14:textId="64D08DD3" w:rsidR="00A52491" w:rsidRDefault="00A52491" w:rsidP="002F73F0">
      <w:pPr>
        <w:spacing w:after="0"/>
        <w:rPr>
          <w:rFonts w:ascii="Arial" w:hAnsi="Arial" w:cs="Arial"/>
          <w:bCs/>
          <w:sz w:val="24"/>
          <w:szCs w:val="24"/>
        </w:rPr>
      </w:pPr>
      <w:r>
        <w:rPr>
          <w:rFonts w:ascii="Arial" w:hAnsi="Arial" w:cs="Arial"/>
          <w:bCs/>
          <w:sz w:val="24"/>
          <w:szCs w:val="24"/>
        </w:rPr>
        <w:tab/>
        <w:t>Ref 1:</w:t>
      </w:r>
      <w:r>
        <w:rPr>
          <w:rFonts w:ascii="Arial" w:hAnsi="Arial" w:cs="Arial"/>
          <w:bCs/>
          <w:sz w:val="24"/>
          <w:szCs w:val="24"/>
        </w:rPr>
        <w:tab/>
        <w:t>Manager’s Summary, section 6.3.7 (Main Rate Zone)</w:t>
      </w:r>
    </w:p>
    <w:p w14:paraId="74240DCC" w14:textId="692D3655" w:rsidR="00A52491" w:rsidRDefault="00A52491" w:rsidP="002F73F0">
      <w:pPr>
        <w:spacing w:after="0"/>
        <w:rPr>
          <w:rFonts w:ascii="Arial" w:hAnsi="Arial" w:cs="Arial"/>
          <w:bCs/>
          <w:sz w:val="24"/>
          <w:szCs w:val="24"/>
        </w:rPr>
      </w:pPr>
      <w:r>
        <w:rPr>
          <w:rFonts w:ascii="Arial" w:hAnsi="Arial" w:cs="Arial"/>
          <w:bCs/>
          <w:sz w:val="24"/>
          <w:szCs w:val="24"/>
        </w:rPr>
        <w:tab/>
        <w:t>Ref 2:</w:t>
      </w:r>
      <w:r>
        <w:rPr>
          <w:rFonts w:ascii="Arial" w:hAnsi="Arial" w:cs="Arial"/>
          <w:bCs/>
          <w:sz w:val="24"/>
          <w:szCs w:val="24"/>
        </w:rPr>
        <w:tab/>
        <w:t>Manager’s Summary, section 7.3.7 (St. Thomas Rate Zone)</w:t>
      </w:r>
    </w:p>
    <w:p w14:paraId="5E35735D" w14:textId="42AB93DD" w:rsidR="00A52491" w:rsidRDefault="00A52491" w:rsidP="002F73F0">
      <w:pPr>
        <w:spacing w:after="0"/>
        <w:rPr>
          <w:rFonts w:ascii="Arial" w:hAnsi="Arial" w:cs="Arial"/>
          <w:bCs/>
          <w:sz w:val="24"/>
          <w:szCs w:val="24"/>
        </w:rPr>
      </w:pPr>
      <w:r>
        <w:rPr>
          <w:rFonts w:ascii="Arial" w:hAnsi="Arial" w:cs="Arial"/>
          <w:bCs/>
          <w:sz w:val="24"/>
          <w:szCs w:val="24"/>
        </w:rPr>
        <w:tab/>
        <w:t>Ref 3:</w:t>
      </w:r>
      <w:r>
        <w:rPr>
          <w:rFonts w:ascii="Arial" w:hAnsi="Arial" w:cs="Arial"/>
          <w:bCs/>
          <w:sz w:val="24"/>
          <w:szCs w:val="24"/>
        </w:rPr>
        <w:tab/>
      </w:r>
      <w:proofErr w:type="spellStart"/>
      <w:r>
        <w:rPr>
          <w:rFonts w:ascii="Arial" w:hAnsi="Arial" w:cs="Arial"/>
          <w:bCs/>
          <w:sz w:val="24"/>
          <w:szCs w:val="24"/>
        </w:rPr>
        <w:t>IndEco</w:t>
      </w:r>
      <w:proofErr w:type="spellEnd"/>
      <w:r>
        <w:rPr>
          <w:rFonts w:ascii="Arial" w:hAnsi="Arial" w:cs="Arial"/>
          <w:bCs/>
          <w:sz w:val="24"/>
          <w:szCs w:val="24"/>
        </w:rPr>
        <w:t xml:space="preserve"> Report, page 12</w:t>
      </w:r>
    </w:p>
    <w:p w14:paraId="04874D6C" w14:textId="444545E5" w:rsidR="00A52491" w:rsidRDefault="00A52491" w:rsidP="002F73F0">
      <w:pPr>
        <w:spacing w:after="0"/>
        <w:rPr>
          <w:rFonts w:ascii="Arial" w:hAnsi="Arial" w:cs="Arial"/>
          <w:bCs/>
          <w:sz w:val="24"/>
          <w:szCs w:val="24"/>
        </w:rPr>
      </w:pPr>
      <w:r>
        <w:rPr>
          <w:rFonts w:ascii="Arial" w:hAnsi="Arial" w:cs="Arial"/>
          <w:bCs/>
          <w:sz w:val="24"/>
          <w:szCs w:val="24"/>
        </w:rPr>
        <w:tab/>
        <w:t xml:space="preserve">Ref 4: 2024 LRAMVA </w:t>
      </w:r>
      <w:proofErr w:type="spellStart"/>
      <w:r>
        <w:rPr>
          <w:rFonts w:ascii="Arial" w:hAnsi="Arial" w:cs="Arial"/>
          <w:bCs/>
          <w:sz w:val="24"/>
          <w:szCs w:val="24"/>
        </w:rPr>
        <w:t>Workform</w:t>
      </w:r>
      <w:proofErr w:type="spellEnd"/>
    </w:p>
    <w:p w14:paraId="0623DE9C" w14:textId="77777777" w:rsidR="002F324E" w:rsidRDefault="00A52491" w:rsidP="002F324E">
      <w:pPr>
        <w:spacing w:after="0"/>
        <w:ind w:left="720" w:hanging="720"/>
        <w:rPr>
          <w:rFonts w:ascii="Arial" w:hAnsi="Arial" w:cs="Arial"/>
          <w:bCs/>
          <w:sz w:val="24"/>
          <w:szCs w:val="24"/>
        </w:rPr>
      </w:pPr>
      <w:r>
        <w:rPr>
          <w:rFonts w:ascii="Arial" w:hAnsi="Arial" w:cs="Arial"/>
          <w:bCs/>
          <w:sz w:val="24"/>
          <w:szCs w:val="24"/>
        </w:rPr>
        <w:tab/>
        <w:t>Ref 5:</w:t>
      </w:r>
      <w:r>
        <w:rPr>
          <w:rFonts w:ascii="Arial" w:hAnsi="Arial" w:cs="Arial"/>
          <w:bCs/>
          <w:sz w:val="24"/>
          <w:szCs w:val="24"/>
        </w:rPr>
        <w:tab/>
        <w:t xml:space="preserve">Rate Generator Model, Tab 19, </w:t>
      </w:r>
      <w:r w:rsidR="002C57DB">
        <w:rPr>
          <w:rFonts w:ascii="Arial" w:hAnsi="Arial" w:cs="Arial"/>
          <w:bCs/>
          <w:sz w:val="24"/>
          <w:szCs w:val="24"/>
        </w:rPr>
        <w:t>Additional Rates</w:t>
      </w:r>
      <w:r w:rsidR="002F324E">
        <w:rPr>
          <w:rFonts w:ascii="Arial" w:hAnsi="Arial" w:cs="Arial"/>
          <w:bCs/>
          <w:sz w:val="24"/>
          <w:szCs w:val="24"/>
        </w:rPr>
        <w:t xml:space="preserve"> (Main and St. Thomas </w:t>
      </w:r>
    </w:p>
    <w:p w14:paraId="2B4D1C0D" w14:textId="3B92B483" w:rsidR="00A52491" w:rsidRDefault="002F324E" w:rsidP="002F73F0">
      <w:pPr>
        <w:spacing w:after="0"/>
        <w:ind w:left="720" w:firstLine="720"/>
        <w:rPr>
          <w:rFonts w:ascii="Arial" w:hAnsi="Arial" w:cs="Arial"/>
          <w:bCs/>
          <w:sz w:val="24"/>
          <w:szCs w:val="24"/>
        </w:rPr>
      </w:pPr>
      <w:r>
        <w:rPr>
          <w:rFonts w:ascii="Arial" w:hAnsi="Arial" w:cs="Arial"/>
          <w:bCs/>
          <w:sz w:val="24"/>
          <w:szCs w:val="24"/>
        </w:rPr>
        <w:t>Rate Zones)</w:t>
      </w:r>
    </w:p>
    <w:p w14:paraId="4A92C153" w14:textId="77777777" w:rsidR="002C57DB" w:rsidRDefault="002C57DB" w:rsidP="002C57DB">
      <w:pPr>
        <w:pStyle w:val="paragraph"/>
        <w:spacing w:before="0" w:beforeAutospacing="0" w:after="0" w:afterAutospacing="0"/>
        <w:textAlignment w:val="baseline"/>
        <w:rPr>
          <w:rStyle w:val="Hyperlink"/>
          <w:rFonts w:ascii="Arial" w:hAnsi="Arial" w:cs="Arial"/>
          <w:bCs/>
        </w:rPr>
      </w:pPr>
      <w:r>
        <w:rPr>
          <w:rFonts w:ascii="Arial" w:hAnsi="Arial" w:cs="Arial"/>
          <w:bCs/>
        </w:rPr>
        <w:tab/>
        <w:t>Ref 6:</w:t>
      </w:r>
      <w:r w:rsidRPr="002C57DB">
        <w:rPr>
          <w:rFonts w:ascii="Arial" w:hAnsi="Arial" w:cs="Arial"/>
          <w:bCs/>
        </w:rPr>
        <w:tab/>
      </w:r>
      <w:hyperlink r:id="rId10" w:history="1">
        <w:r w:rsidRPr="002F73F0">
          <w:rPr>
            <w:rStyle w:val="Hyperlink"/>
            <w:rFonts w:ascii="Arial" w:hAnsi="Arial" w:cs="Arial"/>
            <w:bCs/>
          </w:rPr>
          <w:t>Guidance on Prospective LRAM Amounts – 2024 Rates</w:t>
        </w:r>
      </w:hyperlink>
    </w:p>
    <w:p w14:paraId="60B7DF0A" w14:textId="77777777" w:rsidR="002C57DB" w:rsidRPr="002F73F0" w:rsidRDefault="002C57DB" w:rsidP="002F73F0">
      <w:pPr>
        <w:pStyle w:val="paragraph"/>
        <w:spacing w:before="0" w:beforeAutospacing="0" w:after="0" w:afterAutospacing="0"/>
        <w:textAlignment w:val="baseline"/>
        <w:rPr>
          <w:rFonts w:ascii="Arial" w:hAnsi="Arial" w:cs="Arial"/>
          <w:bCs/>
        </w:rPr>
      </w:pPr>
    </w:p>
    <w:p w14:paraId="73FB61C6" w14:textId="77777777" w:rsidR="002C57DB" w:rsidRDefault="002C57DB" w:rsidP="002C57DB">
      <w:pPr>
        <w:spacing w:after="0"/>
        <w:rPr>
          <w:rFonts w:ascii="Arial" w:hAnsi="Arial" w:cs="Arial"/>
          <w:sz w:val="24"/>
          <w:szCs w:val="24"/>
        </w:rPr>
      </w:pPr>
      <w:proofErr w:type="spellStart"/>
      <w:r w:rsidRPr="00385303">
        <w:rPr>
          <w:rFonts w:ascii="Arial" w:hAnsi="Arial" w:cs="Arial"/>
          <w:sz w:val="24"/>
          <w:szCs w:val="24"/>
        </w:rPr>
        <w:t>Entegrus</w:t>
      </w:r>
      <w:proofErr w:type="spellEnd"/>
      <w:r w:rsidRPr="00385303">
        <w:rPr>
          <w:rFonts w:ascii="Arial" w:hAnsi="Arial" w:cs="Arial"/>
          <w:sz w:val="24"/>
          <w:szCs w:val="24"/>
        </w:rPr>
        <w:t xml:space="preserve"> is applying for prospecti</w:t>
      </w:r>
      <w:r>
        <w:rPr>
          <w:rFonts w:ascii="Arial" w:hAnsi="Arial" w:cs="Arial"/>
          <w:sz w:val="24"/>
          <w:szCs w:val="24"/>
        </w:rPr>
        <w:t xml:space="preserve">ve LRAM-eligible amounts for the Main and St. Thomas Rate Zones. The </w:t>
      </w:r>
      <w:proofErr w:type="spellStart"/>
      <w:r>
        <w:rPr>
          <w:rFonts w:ascii="Arial" w:hAnsi="Arial" w:cs="Arial"/>
          <w:sz w:val="24"/>
          <w:szCs w:val="24"/>
        </w:rPr>
        <w:t>IndEco</w:t>
      </w:r>
      <w:proofErr w:type="spellEnd"/>
      <w:r>
        <w:rPr>
          <w:rFonts w:ascii="Arial" w:hAnsi="Arial" w:cs="Arial"/>
          <w:sz w:val="24"/>
          <w:szCs w:val="24"/>
        </w:rPr>
        <w:t xml:space="preserve"> Report indicates that the prospective balances will be adjusted to current year dollars and claimed in the rate application for the respective years.</w:t>
      </w:r>
    </w:p>
    <w:p w14:paraId="0DE2EB02" w14:textId="77777777" w:rsidR="002C57DB" w:rsidRDefault="002C57DB" w:rsidP="002C57DB">
      <w:pPr>
        <w:spacing w:after="0"/>
        <w:rPr>
          <w:rFonts w:ascii="Arial" w:hAnsi="Arial" w:cs="Arial"/>
          <w:sz w:val="24"/>
          <w:szCs w:val="24"/>
        </w:rPr>
      </w:pPr>
    </w:p>
    <w:p w14:paraId="555E6BCA" w14:textId="77777777" w:rsidR="002C57DB" w:rsidRPr="007A188A" w:rsidRDefault="002C57DB" w:rsidP="002C57DB">
      <w:pPr>
        <w:spacing w:after="0"/>
        <w:rPr>
          <w:rFonts w:ascii="Arial" w:hAnsi="Arial" w:cs="Arial"/>
          <w:sz w:val="24"/>
          <w:szCs w:val="24"/>
          <w:highlight w:val="yellow"/>
        </w:rPr>
      </w:pPr>
      <w:r>
        <w:rPr>
          <w:rFonts w:ascii="Arial" w:hAnsi="Arial" w:cs="Arial"/>
          <w:sz w:val="24"/>
          <w:szCs w:val="24"/>
        </w:rPr>
        <w:t>As per the Guidance on Prospective LRAM Amounts, d</w:t>
      </w:r>
      <w:r w:rsidRPr="00C029AA">
        <w:rPr>
          <w:rFonts w:ascii="Arial" w:hAnsi="Arial" w:cs="Arial"/>
          <w:sz w:val="24"/>
          <w:szCs w:val="24"/>
        </w:rPr>
        <w:t xml:space="preserve">istributors should propose rate riders to recover each annual LRAM-eligible amount in the corresponding rate year, beginning with the application for 2024 rates, and continuing each rate year until all amounts shown in Table 1- C </w:t>
      </w:r>
      <w:r>
        <w:rPr>
          <w:rFonts w:ascii="Arial" w:hAnsi="Arial" w:cs="Arial"/>
          <w:sz w:val="24"/>
          <w:szCs w:val="24"/>
        </w:rPr>
        <w:t xml:space="preserve">of the LRAMVA </w:t>
      </w:r>
      <w:proofErr w:type="spellStart"/>
      <w:r>
        <w:rPr>
          <w:rFonts w:ascii="Arial" w:hAnsi="Arial" w:cs="Arial"/>
          <w:sz w:val="24"/>
          <w:szCs w:val="24"/>
        </w:rPr>
        <w:t>Workform</w:t>
      </w:r>
      <w:proofErr w:type="spellEnd"/>
      <w:r>
        <w:rPr>
          <w:rFonts w:ascii="Arial" w:hAnsi="Arial" w:cs="Arial"/>
          <w:sz w:val="24"/>
          <w:szCs w:val="24"/>
        </w:rPr>
        <w:t xml:space="preserve"> </w:t>
      </w:r>
      <w:r w:rsidRPr="00C029AA">
        <w:rPr>
          <w:rFonts w:ascii="Arial" w:hAnsi="Arial" w:cs="Arial"/>
          <w:sz w:val="24"/>
          <w:szCs w:val="24"/>
        </w:rPr>
        <w:t>have been recovered.</w:t>
      </w:r>
    </w:p>
    <w:p w14:paraId="499639F1" w14:textId="77777777" w:rsidR="002C57DB" w:rsidRDefault="002C57DB" w:rsidP="002F73F0">
      <w:pPr>
        <w:spacing w:after="0"/>
        <w:rPr>
          <w:rFonts w:ascii="Arial" w:hAnsi="Arial" w:cs="Arial"/>
          <w:bCs/>
          <w:sz w:val="24"/>
          <w:szCs w:val="24"/>
        </w:rPr>
      </w:pPr>
    </w:p>
    <w:p w14:paraId="54C64F68" w14:textId="77777777" w:rsidR="002F324E" w:rsidRDefault="002F324E" w:rsidP="00DB0DBD">
      <w:pPr>
        <w:spacing w:after="240"/>
        <w:rPr>
          <w:rFonts w:ascii="Arial" w:hAnsi="Arial" w:cs="Arial"/>
          <w:bCs/>
          <w:sz w:val="24"/>
          <w:szCs w:val="24"/>
          <w:u w:val="single"/>
        </w:rPr>
      </w:pPr>
    </w:p>
    <w:p w14:paraId="454D54B0" w14:textId="469171C4" w:rsidR="00A52491" w:rsidRDefault="00A52491" w:rsidP="002F324E">
      <w:pPr>
        <w:spacing w:after="0"/>
        <w:rPr>
          <w:rFonts w:ascii="Arial" w:hAnsi="Arial" w:cs="Arial"/>
          <w:bCs/>
          <w:sz w:val="24"/>
          <w:szCs w:val="24"/>
        </w:rPr>
      </w:pPr>
      <w:r w:rsidRPr="002F73F0">
        <w:rPr>
          <w:rFonts w:ascii="Arial" w:hAnsi="Arial" w:cs="Arial"/>
          <w:bCs/>
          <w:sz w:val="24"/>
          <w:szCs w:val="24"/>
          <w:u w:val="single"/>
        </w:rPr>
        <w:lastRenderedPageBreak/>
        <w:t>Questions</w:t>
      </w:r>
      <w:r>
        <w:rPr>
          <w:rFonts w:ascii="Arial" w:hAnsi="Arial" w:cs="Arial"/>
          <w:bCs/>
          <w:sz w:val="24"/>
          <w:szCs w:val="24"/>
        </w:rPr>
        <w:t>:</w:t>
      </w:r>
    </w:p>
    <w:p w14:paraId="417AF8B1" w14:textId="77777777" w:rsidR="002F324E" w:rsidRDefault="002F324E" w:rsidP="002F73F0">
      <w:pPr>
        <w:spacing w:after="0"/>
        <w:rPr>
          <w:rFonts w:ascii="Arial" w:hAnsi="Arial" w:cs="Arial"/>
          <w:bCs/>
          <w:sz w:val="24"/>
          <w:szCs w:val="24"/>
        </w:rPr>
      </w:pPr>
    </w:p>
    <w:p w14:paraId="2AF7E1A3" w14:textId="77777777" w:rsidR="00A52491" w:rsidRDefault="00A52491" w:rsidP="00A52491">
      <w:pPr>
        <w:pStyle w:val="ListParagraph"/>
        <w:numPr>
          <w:ilvl w:val="0"/>
          <w:numId w:val="37"/>
        </w:numPr>
        <w:spacing w:after="0" w:line="256" w:lineRule="auto"/>
        <w:rPr>
          <w:rFonts w:ascii="Arial" w:hAnsi="Arial" w:cs="Arial"/>
          <w:sz w:val="24"/>
          <w:szCs w:val="24"/>
        </w:rPr>
      </w:pPr>
      <w:r>
        <w:rPr>
          <w:rFonts w:ascii="Arial" w:hAnsi="Arial" w:cs="Arial"/>
          <w:sz w:val="24"/>
          <w:szCs w:val="24"/>
        </w:rPr>
        <w:t xml:space="preserve">For the prospective disposition, please explain why </w:t>
      </w:r>
      <w:proofErr w:type="spellStart"/>
      <w:r>
        <w:rPr>
          <w:rFonts w:ascii="Arial" w:hAnsi="Arial" w:cs="Arial"/>
          <w:sz w:val="24"/>
          <w:szCs w:val="24"/>
        </w:rPr>
        <w:t>Entegrus</w:t>
      </w:r>
      <w:proofErr w:type="spellEnd"/>
      <w:r>
        <w:rPr>
          <w:rFonts w:ascii="Arial" w:hAnsi="Arial" w:cs="Arial"/>
          <w:sz w:val="24"/>
          <w:szCs w:val="24"/>
        </w:rPr>
        <w:t xml:space="preserve"> has not </w:t>
      </w:r>
      <w:r w:rsidRPr="00AE16DF">
        <w:rPr>
          <w:rFonts w:ascii="Arial" w:hAnsi="Arial" w:cs="Arial"/>
          <w:sz w:val="24"/>
          <w:szCs w:val="24"/>
        </w:rPr>
        <w:t>propose</w:t>
      </w:r>
      <w:r>
        <w:rPr>
          <w:rFonts w:ascii="Arial" w:hAnsi="Arial" w:cs="Arial"/>
          <w:sz w:val="24"/>
          <w:szCs w:val="24"/>
        </w:rPr>
        <w:t>d</w:t>
      </w:r>
      <w:r w:rsidRPr="00AE16DF">
        <w:rPr>
          <w:rFonts w:ascii="Arial" w:hAnsi="Arial" w:cs="Arial"/>
          <w:sz w:val="24"/>
          <w:szCs w:val="24"/>
        </w:rPr>
        <w:t xml:space="preserve"> rate riders to recover each annual LRAM-eligible amount in the corresponding rate year, beginning with 2024, and continuing each rate year until all amounts shown in Table 1- C have been recovered.</w:t>
      </w:r>
    </w:p>
    <w:p w14:paraId="0297E603" w14:textId="77777777" w:rsidR="00A52491" w:rsidRDefault="00A52491" w:rsidP="00A52491">
      <w:pPr>
        <w:pStyle w:val="ListParagraph"/>
        <w:numPr>
          <w:ilvl w:val="0"/>
          <w:numId w:val="37"/>
        </w:numPr>
        <w:spacing w:after="0" w:line="256" w:lineRule="auto"/>
        <w:rPr>
          <w:rFonts w:ascii="Arial" w:hAnsi="Arial" w:cs="Arial"/>
          <w:sz w:val="24"/>
          <w:szCs w:val="24"/>
        </w:rPr>
      </w:pPr>
      <w:r>
        <w:rPr>
          <w:rFonts w:ascii="Arial" w:hAnsi="Arial" w:cs="Arial"/>
          <w:sz w:val="24"/>
          <w:szCs w:val="24"/>
        </w:rPr>
        <w:t xml:space="preserve">If prospective disposition is being sought, please provide the calculation of the resulting rate riders for the Main and St. Thomas Rate Zones. </w:t>
      </w:r>
    </w:p>
    <w:p w14:paraId="185FB29F" w14:textId="77777777" w:rsidR="00A52491" w:rsidRDefault="00A52491" w:rsidP="00A52491">
      <w:pPr>
        <w:pStyle w:val="ListParagraph"/>
        <w:numPr>
          <w:ilvl w:val="0"/>
          <w:numId w:val="37"/>
        </w:numPr>
        <w:spacing w:after="0" w:line="256" w:lineRule="auto"/>
        <w:rPr>
          <w:rFonts w:ascii="Arial" w:hAnsi="Arial" w:cs="Arial"/>
          <w:sz w:val="24"/>
          <w:szCs w:val="24"/>
        </w:rPr>
      </w:pPr>
      <w:r>
        <w:rPr>
          <w:rFonts w:ascii="Arial" w:hAnsi="Arial" w:cs="Arial"/>
          <w:sz w:val="24"/>
          <w:szCs w:val="24"/>
        </w:rPr>
        <w:t>Please input those riders into Tab 19 of the IRM Rate Generator Models for the Main and St. Thomas Rate Zones.</w:t>
      </w:r>
    </w:p>
    <w:p w14:paraId="44B75ADB" w14:textId="77777777" w:rsidR="00A52491" w:rsidRPr="0037755B" w:rsidRDefault="00A52491" w:rsidP="00DB0DBD">
      <w:pPr>
        <w:spacing w:after="240"/>
        <w:rPr>
          <w:rFonts w:ascii="Arial" w:hAnsi="Arial" w:cs="Arial"/>
          <w:bCs/>
          <w:sz w:val="24"/>
          <w:szCs w:val="24"/>
        </w:rPr>
      </w:pPr>
    </w:p>
    <w:sectPr w:rsidR="00A52491" w:rsidRPr="0037755B"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D8E2" w14:textId="77777777" w:rsidR="005223C3" w:rsidRDefault="005223C3" w:rsidP="00D77124">
      <w:pPr>
        <w:spacing w:after="0" w:line="240" w:lineRule="auto"/>
      </w:pPr>
      <w:r>
        <w:separator/>
      </w:r>
    </w:p>
  </w:endnote>
  <w:endnote w:type="continuationSeparator" w:id="0">
    <w:p w14:paraId="1D1D9FB6" w14:textId="77777777" w:rsidR="005223C3" w:rsidRDefault="005223C3"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8AAE" w14:textId="77777777" w:rsidR="005223C3" w:rsidRDefault="005223C3" w:rsidP="00D77124">
      <w:pPr>
        <w:spacing w:after="0" w:line="240" w:lineRule="auto"/>
      </w:pPr>
      <w:r>
        <w:separator/>
      </w:r>
    </w:p>
  </w:footnote>
  <w:footnote w:type="continuationSeparator" w:id="0">
    <w:p w14:paraId="368A6E3B" w14:textId="77777777" w:rsidR="005223C3" w:rsidRDefault="005223C3"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721E3BBF" w:rsidR="00DC489D" w:rsidRDefault="00DC489D">
    <w:pPr>
      <w:pStyle w:val="Header"/>
    </w:pPr>
    <w:r>
      <w:ptab w:relativeTo="margin" w:alignment="center" w:leader="none"/>
    </w:r>
    <w:r>
      <w:ptab w:relativeTo="margin" w:alignment="right" w:leader="none"/>
    </w:r>
    <w:proofErr w:type="spellStart"/>
    <w:r w:rsidR="00743255">
      <w:t>Entegrus</w:t>
    </w:r>
    <w:proofErr w:type="spellEnd"/>
    <w:r w:rsidR="00743255">
      <w:t xml:space="preserve"> Powerlines Inc.</w:t>
    </w:r>
  </w:p>
  <w:p w14:paraId="4C4BD2A4" w14:textId="27F660F2" w:rsidR="00DC489D" w:rsidRDefault="00DC489D">
    <w:pPr>
      <w:pStyle w:val="Header"/>
    </w:pPr>
    <w:r>
      <w:tab/>
    </w:r>
    <w:r>
      <w:tab/>
      <w:t>OEB Staff Questions</w:t>
    </w:r>
  </w:p>
  <w:p w14:paraId="31F1E28E" w14:textId="3B89ABF5" w:rsidR="00DC489D" w:rsidRDefault="00DC489D">
    <w:pPr>
      <w:pStyle w:val="Header"/>
    </w:pPr>
    <w:r>
      <w:tab/>
    </w:r>
    <w:r>
      <w:tab/>
      <w:t>EB-20</w:t>
    </w:r>
    <w:r w:rsidR="00743255">
      <w:t>23</w:t>
    </w:r>
    <w:r>
      <w:t>-</w:t>
    </w:r>
    <w:r w:rsidR="00743255">
      <w:t>0016</w:t>
    </w:r>
  </w:p>
  <w:p w14:paraId="08CED1D6" w14:textId="77777777" w:rsidR="008B0D0A" w:rsidRDefault="008B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567D6D"/>
    <w:multiLevelType w:val="hybridMultilevel"/>
    <w:tmpl w:val="C0FC3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9F1A42"/>
    <w:multiLevelType w:val="hybridMultilevel"/>
    <w:tmpl w:val="C0FC3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B70601"/>
    <w:multiLevelType w:val="hybridMultilevel"/>
    <w:tmpl w:val="FF0CF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122F58"/>
    <w:multiLevelType w:val="hybridMultilevel"/>
    <w:tmpl w:val="F39091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D177F9E"/>
    <w:multiLevelType w:val="hybridMultilevel"/>
    <w:tmpl w:val="C0FC3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1D4F47"/>
    <w:multiLevelType w:val="hybridMultilevel"/>
    <w:tmpl w:val="C0FC3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117876"/>
    <w:multiLevelType w:val="hybridMultilevel"/>
    <w:tmpl w:val="C0FC3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0173D4"/>
    <w:multiLevelType w:val="hybridMultilevel"/>
    <w:tmpl w:val="FF0CF6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7389052">
    <w:abstractNumId w:val="0"/>
  </w:num>
  <w:num w:numId="2" w16cid:durableId="1817183121">
    <w:abstractNumId w:val="7"/>
  </w:num>
  <w:num w:numId="3" w16cid:durableId="1825269186">
    <w:abstractNumId w:val="25"/>
  </w:num>
  <w:num w:numId="4" w16cid:durableId="1119179632">
    <w:abstractNumId w:val="35"/>
  </w:num>
  <w:num w:numId="5" w16cid:durableId="2091417003">
    <w:abstractNumId w:val="14"/>
  </w:num>
  <w:num w:numId="6" w16cid:durableId="252014472">
    <w:abstractNumId w:val="10"/>
  </w:num>
  <w:num w:numId="7" w16cid:durableId="1793011066">
    <w:abstractNumId w:val="20"/>
  </w:num>
  <w:num w:numId="8" w16cid:durableId="1794320803">
    <w:abstractNumId w:val="16"/>
  </w:num>
  <w:num w:numId="9" w16cid:durableId="1829709702">
    <w:abstractNumId w:val="17"/>
  </w:num>
  <w:num w:numId="10" w16cid:durableId="1115251463">
    <w:abstractNumId w:val="6"/>
  </w:num>
  <w:num w:numId="11" w16cid:durableId="1887520468">
    <w:abstractNumId w:val="19"/>
  </w:num>
  <w:num w:numId="12" w16cid:durableId="1441336080">
    <w:abstractNumId w:val="29"/>
  </w:num>
  <w:num w:numId="13" w16cid:durableId="1780180625">
    <w:abstractNumId w:val="5"/>
  </w:num>
  <w:num w:numId="14" w16cid:durableId="1590384501">
    <w:abstractNumId w:val="2"/>
  </w:num>
  <w:num w:numId="15" w16cid:durableId="427196099">
    <w:abstractNumId w:val="34"/>
  </w:num>
  <w:num w:numId="16" w16cid:durableId="1661301170">
    <w:abstractNumId w:val="9"/>
  </w:num>
  <w:num w:numId="17" w16cid:durableId="580800399">
    <w:abstractNumId w:val="23"/>
  </w:num>
  <w:num w:numId="18" w16cid:durableId="1835102567">
    <w:abstractNumId w:val="31"/>
  </w:num>
  <w:num w:numId="19" w16cid:durableId="1966807704">
    <w:abstractNumId w:val="33"/>
  </w:num>
  <w:num w:numId="20" w16cid:durableId="1330401671">
    <w:abstractNumId w:val="13"/>
  </w:num>
  <w:num w:numId="21" w16cid:durableId="1192495916">
    <w:abstractNumId w:val="30"/>
  </w:num>
  <w:num w:numId="22" w16cid:durableId="82845605">
    <w:abstractNumId w:val="12"/>
  </w:num>
  <w:num w:numId="23" w16cid:durableId="1261449128">
    <w:abstractNumId w:val="28"/>
  </w:num>
  <w:num w:numId="24" w16cid:durableId="1669995">
    <w:abstractNumId w:val="24"/>
  </w:num>
  <w:num w:numId="25" w16cid:durableId="965695596">
    <w:abstractNumId w:val="3"/>
  </w:num>
  <w:num w:numId="26" w16cid:durableId="331496830">
    <w:abstractNumId w:val="18"/>
  </w:num>
  <w:num w:numId="27" w16cid:durableId="1873108183">
    <w:abstractNumId w:val="21"/>
  </w:num>
  <w:num w:numId="28" w16cid:durableId="579019750">
    <w:abstractNumId w:val="22"/>
  </w:num>
  <w:num w:numId="29" w16cid:durableId="19553713">
    <w:abstractNumId w:val="11"/>
  </w:num>
  <w:num w:numId="30" w16cid:durableId="151138343">
    <w:abstractNumId w:val="15"/>
  </w:num>
  <w:num w:numId="31" w16cid:durableId="246578338">
    <w:abstractNumId w:val="4"/>
  </w:num>
  <w:num w:numId="32" w16cid:durableId="407770569">
    <w:abstractNumId w:val="26"/>
  </w:num>
  <w:num w:numId="33" w16cid:durableId="633757059">
    <w:abstractNumId w:val="27"/>
  </w:num>
  <w:num w:numId="34" w16cid:durableId="24838884">
    <w:abstractNumId w:val="1"/>
  </w:num>
  <w:num w:numId="35" w16cid:durableId="1060711630">
    <w:abstractNumId w:val="8"/>
  </w:num>
  <w:num w:numId="36" w16cid:durableId="1280333829">
    <w:abstractNumId w:val="32"/>
  </w:num>
  <w:num w:numId="37" w16cid:durableId="16618064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1509"/>
    <w:rsid w:val="00054071"/>
    <w:rsid w:val="0006126D"/>
    <w:rsid w:val="00067F57"/>
    <w:rsid w:val="00071BEC"/>
    <w:rsid w:val="00074514"/>
    <w:rsid w:val="000832D4"/>
    <w:rsid w:val="00090160"/>
    <w:rsid w:val="000A37DD"/>
    <w:rsid w:val="000B3E7E"/>
    <w:rsid w:val="000D223C"/>
    <w:rsid w:val="000E4006"/>
    <w:rsid w:val="000F1E3A"/>
    <w:rsid w:val="00133BE1"/>
    <w:rsid w:val="00164E99"/>
    <w:rsid w:val="0018135D"/>
    <w:rsid w:val="00183CC8"/>
    <w:rsid w:val="00187E9B"/>
    <w:rsid w:val="001927C2"/>
    <w:rsid w:val="001A4DCD"/>
    <w:rsid w:val="00203092"/>
    <w:rsid w:val="002208C0"/>
    <w:rsid w:val="00224C06"/>
    <w:rsid w:val="0025687C"/>
    <w:rsid w:val="00274A48"/>
    <w:rsid w:val="00291CCC"/>
    <w:rsid w:val="002A6415"/>
    <w:rsid w:val="002B7B7C"/>
    <w:rsid w:val="002C2BF2"/>
    <w:rsid w:val="002C57DB"/>
    <w:rsid w:val="002C7EF6"/>
    <w:rsid w:val="002D4924"/>
    <w:rsid w:val="002F324E"/>
    <w:rsid w:val="002F4756"/>
    <w:rsid w:val="002F73F0"/>
    <w:rsid w:val="00302509"/>
    <w:rsid w:val="003049C5"/>
    <w:rsid w:val="003303BF"/>
    <w:rsid w:val="00340C00"/>
    <w:rsid w:val="003702D1"/>
    <w:rsid w:val="00373FAD"/>
    <w:rsid w:val="0037755B"/>
    <w:rsid w:val="003777B5"/>
    <w:rsid w:val="00381998"/>
    <w:rsid w:val="003832E7"/>
    <w:rsid w:val="003A20A0"/>
    <w:rsid w:val="003A58B0"/>
    <w:rsid w:val="00400DFC"/>
    <w:rsid w:val="00412DC6"/>
    <w:rsid w:val="00425009"/>
    <w:rsid w:val="004377B0"/>
    <w:rsid w:val="00472C81"/>
    <w:rsid w:val="00475032"/>
    <w:rsid w:val="004859EF"/>
    <w:rsid w:val="004E5613"/>
    <w:rsid w:val="00511EC2"/>
    <w:rsid w:val="0051643D"/>
    <w:rsid w:val="005164F5"/>
    <w:rsid w:val="005223C3"/>
    <w:rsid w:val="0052560F"/>
    <w:rsid w:val="005666F2"/>
    <w:rsid w:val="00572064"/>
    <w:rsid w:val="00584369"/>
    <w:rsid w:val="00584A33"/>
    <w:rsid w:val="00587A35"/>
    <w:rsid w:val="005E27C0"/>
    <w:rsid w:val="005F4693"/>
    <w:rsid w:val="006116B4"/>
    <w:rsid w:val="00623602"/>
    <w:rsid w:val="00624387"/>
    <w:rsid w:val="0064279A"/>
    <w:rsid w:val="00651C98"/>
    <w:rsid w:val="006A1257"/>
    <w:rsid w:val="006A5D23"/>
    <w:rsid w:val="006E3D58"/>
    <w:rsid w:val="00704EE5"/>
    <w:rsid w:val="007066E2"/>
    <w:rsid w:val="0072241F"/>
    <w:rsid w:val="00722640"/>
    <w:rsid w:val="0073197E"/>
    <w:rsid w:val="00743255"/>
    <w:rsid w:val="00746080"/>
    <w:rsid w:val="007508EC"/>
    <w:rsid w:val="00772B57"/>
    <w:rsid w:val="00781D04"/>
    <w:rsid w:val="007B40BA"/>
    <w:rsid w:val="007C2D45"/>
    <w:rsid w:val="007F49EB"/>
    <w:rsid w:val="00805FDA"/>
    <w:rsid w:val="00812C1B"/>
    <w:rsid w:val="008173B1"/>
    <w:rsid w:val="00835AD0"/>
    <w:rsid w:val="00841787"/>
    <w:rsid w:val="00852887"/>
    <w:rsid w:val="008747B3"/>
    <w:rsid w:val="008813C3"/>
    <w:rsid w:val="008926F0"/>
    <w:rsid w:val="008964E8"/>
    <w:rsid w:val="008A48F6"/>
    <w:rsid w:val="008B0D0A"/>
    <w:rsid w:val="008E6045"/>
    <w:rsid w:val="008F50C9"/>
    <w:rsid w:val="00900EE8"/>
    <w:rsid w:val="0090113B"/>
    <w:rsid w:val="0093258A"/>
    <w:rsid w:val="0094373C"/>
    <w:rsid w:val="00946DEE"/>
    <w:rsid w:val="00951E2B"/>
    <w:rsid w:val="00952939"/>
    <w:rsid w:val="00961EA0"/>
    <w:rsid w:val="009A260D"/>
    <w:rsid w:val="009A5C44"/>
    <w:rsid w:val="009B03AF"/>
    <w:rsid w:val="009C4216"/>
    <w:rsid w:val="009D5F4B"/>
    <w:rsid w:val="009E626E"/>
    <w:rsid w:val="009E7CBF"/>
    <w:rsid w:val="00A07077"/>
    <w:rsid w:val="00A50DD0"/>
    <w:rsid w:val="00A516B0"/>
    <w:rsid w:val="00A52491"/>
    <w:rsid w:val="00A5620A"/>
    <w:rsid w:val="00A76039"/>
    <w:rsid w:val="00AA06D9"/>
    <w:rsid w:val="00AB251C"/>
    <w:rsid w:val="00AC2406"/>
    <w:rsid w:val="00AD3FCF"/>
    <w:rsid w:val="00AD53AC"/>
    <w:rsid w:val="00B03802"/>
    <w:rsid w:val="00B069AA"/>
    <w:rsid w:val="00B23A36"/>
    <w:rsid w:val="00B25576"/>
    <w:rsid w:val="00B25EF5"/>
    <w:rsid w:val="00B50EB2"/>
    <w:rsid w:val="00B6722A"/>
    <w:rsid w:val="00B80D86"/>
    <w:rsid w:val="00B82D78"/>
    <w:rsid w:val="00BA2572"/>
    <w:rsid w:val="00BA434C"/>
    <w:rsid w:val="00BD4F65"/>
    <w:rsid w:val="00BD7607"/>
    <w:rsid w:val="00C06F9E"/>
    <w:rsid w:val="00C13E6B"/>
    <w:rsid w:val="00C2370B"/>
    <w:rsid w:val="00C27193"/>
    <w:rsid w:val="00C44B76"/>
    <w:rsid w:val="00C624D5"/>
    <w:rsid w:val="00C848A0"/>
    <w:rsid w:val="00C859E5"/>
    <w:rsid w:val="00C878C5"/>
    <w:rsid w:val="00C96AEA"/>
    <w:rsid w:val="00CC0B6D"/>
    <w:rsid w:val="00CD01B4"/>
    <w:rsid w:val="00CE1CD3"/>
    <w:rsid w:val="00CE4F01"/>
    <w:rsid w:val="00D30F16"/>
    <w:rsid w:val="00D54936"/>
    <w:rsid w:val="00D55546"/>
    <w:rsid w:val="00D57E8C"/>
    <w:rsid w:val="00D6213C"/>
    <w:rsid w:val="00D647C0"/>
    <w:rsid w:val="00D77124"/>
    <w:rsid w:val="00D77694"/>
    <w:rsid w:val="00D77B0F"/>
    <w:rsid w:val="00DB0DBD"/>
    <w:rsid w:val="00DB6B52"/>
    <w:rsid w:val="00DC489D"/>
    <w:rsid w:val="00DC7CC4"/>
    <w:rsid w:val="00DE5488"/>
    <w:rsid w:val="00DE75AC"/>
    <w:rsid w:val="00DF5A52"/>
    <w:rsid w:val="00E17C58"/>
    <w:rsid w:val="00E231C2"/>
    <w:rsid w:val="00E429DA"/>
    <w:rsid w:val="00E616AB"/>
    <w:rsid w:val="00E6286E"/>
    <w:rsid w:val="00E62C2A"/>
    <w:rsid w:val="00E8586E"/>
    <w:rsid w:val="00E86F26"/>
    <w:rsid w:val="00E96A06"/>
    <w:rsid w:val="00EA0919"/>
    <w:rsid w:val="00EB5240"/>
    <w:rsid w:val="00EC0B55"/>
    <w:rsid w:val="00EE3753"/>
    <w:rsid w:val="00F034BF"/>
    <w:rsid w:val="00F233A3"/>
    <w:rsid w:val="00F23D7A"/>
    <w:rsid w:val="00F26D30"/>
    <w:rsid w:val="00F30E6C"/>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DB0DBD"/>
    <w:rPr>
      <w:color w:val="0000FF" w:themeColor="hyperlink"/>
      <w:u w:val="single"/>
    </w:rPr>
  </w:style>
  <w:style w:type="paragraph" w:customStyle="1" w:styleId="paragraph">
    <w:name w:val="paragraph"/>
    <w:basedOn w:val="Normal"/>
    <w:rsid w:val="002C57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eb.ca/sites/default/files/LRAMVA-Workform-Instructions%20-%20Prospective%20Lost%20Revenu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Ricky Tsz Wun Wong</cp:lastModifiedBy>
  <cp:revision>7</cp:revision>
  <cp:lastPrinted>2014-09-29T14:43:00Z</cp:lastPrinted>
  <dcterms:created xsi:type="dcterms:W3CDTF">2023-10-02T18:34:00Z</dcterms:created>
  <dcterms:modified xsi:type="dcterms:W3CDTF">2023-10-03T12:44:00Z</dcterms:modified>
</cp:coreProperties>
</file>