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8B79D" w14:textId="4E9B692F" w:rsidR="003832E7" w:rsidRPr="00A27941" w:rsidRDefault="002C5131" w:rsidP="003832E7">
      <w:pPr>
        <w:pStyle w:val="Default"/>
        <w:jc w:val="right"/>
        <w:rPr>
          <w:rFonts w:ascii="Arial" w:hAnsi="Arial" w:cs="Arial"/>
          <w:sz w:val="22"/>
          <w:szCs w:val="22"/>
        </w:rPr>
      </w:pPr>
      <w:r w:rsidRPr="00A27941">
        <w:rPr>
          <w:rFonts w:ascii="Arial" w:hAnsi="Arial" w:cs="Arial"/>
          <w:bCs/>
          <w:sz w:val="22"/>
          <w:szCs w:val="22"/>
        </w:rPr>
        <w:t>London Hydro Inc.</w:t>
      </w:r>
    </w:p>
    <w:p w14:paraId="5498C7DE" w14:textId="77777777" w:rsidR="00A07077" w:rsidRPr="00A27941" w:rsidRDefault="008A48F6" w:rsidP="00A07077">
      <w:pPr>
        <w:pStyle w:val="Default"/>
        <w:jc w:val="right"/>
        <w:rPr>
          <w:rFonts w:ascii="Arial" w:hAnsi="Arial" w:cs="Arial"/>
          <w:sz w:val="22"/>
          <w:szCs w:val="22"/>
        </w:rPr>
      </w:pPr>
      <w:r w:rsidRPr="00A27941">
        <w:rPr>
          <w:rFonts w:ascii="Arial" w:hAnsi="Arial" w:cs="Arial"/>
          <w:sz w:val="22"/>
          <w:szCs w:val="22"/>
        </w:rPr>
        <w:t>OEB</w:t>
      </w:r>
      <w:r w:rsidR="00A07077" w:rsidRPr="00A27941">
        <w:rPr>
          <w:rFonts w:ascii="Arial" w:hAnsi="Arial" w:cs="Arial"/>
          <w:sz w:val="22"/>
          <w:szCs w:val="22"/>
        </w:rPr>
        <w:t xml:space="preserve"> Staff </w:t>
      </w:r>
      <w:r w:rsidR="008813C3" w:rsidRPr="00A27941">
        <w:rPr>
          <w:rFonts w:ascii="Arial" w:hAnsi="Arial" w:cs="Arial"/>
          <w:sz w:val="22"/>
          <w:szCs w:val="22"/>
        </w:rPr>
        <w:t>Questions</w:t>
      </w:r>
    </w:p>
    <w:p w14:paraId="04387495" w14:textId="345A91C6" w:rsidR="00A07077" w:rsidRPr="00A27941" w:rsidRDefault="00623602" w:rsidP="00B069AA">
      <w:pPr>
        <w:pStyle w:val="Default"/>
        <w:jc w:val="right"/>
        <w:rPr>
          <w:rFonts w:ascii="Arial" w:hAnsi="Arial" w:cs="Arial"/>
          <w:sz w:val="22"/>
          <w:szCs w:val="22"/>
        </w:rPr>
      </w:pPr>
      <w:r w:rsidRPr="00A27941">
        <w:rPr>
          <w:rFonts w:ascii="Arial" w:hAnsi="Arial" w:cs="Arial"/>
          <w:sz w:val="22"/>
          <w:szCs w:val="22"/>
        </w:rPr>
        <w:t>EB-2020</w:t>
      </w:r>
      <w:r w:rsidR="009D5F4B" w:rsidRPr="00A27941">
        <w:rPr>
          <w:rFonts w:ascii="Arial" w:hAnsi="Arial" w:cs="Arial"/>
          <w:sz w:val="22"/>
          <w:szCs w:val="22"/>
        </w:rPr>
        <w:t>-</w:t>
      </w:r>
      <w:r w:rsidR="002C5131" w:rsidRPr="00A27941">
        <w:rPr>
          <w:rFonts w:ascii="Arial" w:hAnsi="Arial" w:cs="Arial"/>
          <w:sz w:val="22"/>
          <w:szCs w:val="22"/>
        </w:rPr>
        <w:t>0038</w:t>
      </w:r>
    </w:p>
    <w:p w14:paraId="04DD1EF2" w14:textId="2C825CF9" w:rsidR="00A07077" w:rsidRDefault="00A07077" w:rsidP="00A07077">
      <w:pPr>
        <w:pStyle w:val="Default"/>
        <w:rPr>
          <w:rFonts w:ascii="Arial" w:hAnsi="Arial" w:cs="Arial"/>
          <w:sz w:val="22"/>
          <w:szCs w:val="22"/>
        </w:rPr>
      </w:pPr>
    </w:p>
    <w:p w14:paraId="20358644" w14:textId="77777777" w:rsidR="00EA1DBB" w:rsidRPr="00A27941" w:rsidRDefault="00EA1DBB" w:rsidP="00A07077">
      <w:pPr>
        <w:pStyle w:val="Default"/>
        <w:rPr>
          <w:rFonts w:ascii="Arial" w:hAnsi="Arial" w:cs="Arial"/>
          <w:sz w:val="22"/>
          <w:szCs w:val="22"/>
        </w:rPr>
      </w:pPr>
    </w:p>
    <w:p w14:paraId="31F8E0D6" w14:textId="5F7FE508" w:rsidR="00A07077" w:rsidRPr="00D57E8C" w:rsidRDefault="002C5131" w:rsidP="00A07077">
      <w:pPr>
        <w:pStyle w:val="Default"/>
        <w:jc w:val="center"/>
        <w:rPr>
          <w:rFonts w:ascii="Arial" w:hAnsi="Arial" w:cs="Arial"/>
          <w:sz w:val="28"/>
          <w:szCs w:val="28"/>
        </w:rPr>
      </w:pPr>
      <w:r w:rsidRPr="00A27941">
        <w:rPr>
          <w:rFonts w:ascii="Arial" w:hAnsi="Arial" w:cs="Arial"/>
          <w:b/>
          <w:bCs/>
          <w:sz w:val="28"/>
          <w:szCs w:val="28"/>
        </w:rPr>
        <w:t>London Hydro Inc.</w:t>
      </w:r>
    </w:p>
    <w:p w14:paraId="33D6510D" w14:textId="771E653C" w:rsidR="00A07077" w:rsidRDefault="00623602" w:rsidP="00A07077">
      <w:pPr>
        <w:pStyle w:val="Default"/>
        <w:jc w:val="center"/>
        <w:rPr>
          <w:rFonts w:ascii="Arial" w:hAnsi="Arial" w:cs="Arial"/>
          <w:b/>
          <w:bCs/>
          <w:sz w:val="28"/>
          <w:szCs w:val="28"/>
        </w:rPr>
      </w:pPr>
      <w:r>
        <w:rPr>
          <w:rFonts w:ascii="Arial" w:hAnsi="Arial" w:cs="Arial"/>
          <w:b/>
          <w:bCs/>
          <w:sz w:val="28"/>
          <w:szCs w:val="28"/>
        </w:rPr>
        <w:t>EB-2020</w:t>
      </w:r>
      <w:r w:rsidR="00B069AA" w:rsidRPr="00D57E8C">
        <w:rPr>
          <w:rFonts w:ascii="Arial" w:hAnsi="Arial" w:cs="Arial"/>
          <w:b/>
          <w:bCs/>
          <w:sz w:val="28"/>
          <w:szCs w:val="28"/>
        </w:rPr>
        <w:t>-</w:t>
      </w:r>
      <w:r w:rsidR="002C5131">
        <w:rPr>
          <w:rFonts w:ascii="Arial" w:hAnsi="Arial" w:cs="Arial"/>
          <w:b/>
          <w:bCs/>
          <w:sz w:val="28"/>
          <w:szCs w:val="28"/>
        </w:rPr>
        <w:t>0038</w:t>
      </w:r>
    </w:p>
    <w:p w14:paraId="63C86BE8" w14:textId="77777777" w:rsidR="00511EC2" w:rsidRDefault="00511EC2" w:rsidP="00511EC2">
      <w:pPr>
        <w:spacing w:after="0" w:line="240" w:lineRule="auto"/>
        <w:rPr>
          <w:rFonts w:ascii="Arial" w:eastAsia="Calibri" w:hAnsi="Arial" w:cs="Arial"/>
          <w:lang w:val="en-US"/>
        </w:rPr>
      </w:pPr>
    </w:p>
    <w:p w14:paraId="2A0CB1B0" w14:textId="450A3602" w:rsid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2C5131">
        <w:rPr>
          <w:rFonts w:ascii="Arial" w:eastAsia="Calibri" w:hAnsi="Arial" w:cs="Arial"/>
          <w:sz w:val="24"/>
          <w:szCs w:val="24"/>
        </w:rPr>
        <w:t>London Hydro</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p w14:paraId="33C6D4D3" w14:textId="77777777" w:rsidR="00CE7DAC" w:rsidRPr="00E86F26" w:rsidRDefault="00CE7DAC" w:rsidP="00E86F26">
      <w:pPr>
        <w:autoSpaceDE w:val="0"/>
        <w:autoSpaceDN w:val="0"/>
        <w:adjustRightInd w:val="0"/>
        <w:spacing w:after="0" w:line="240" w:lineRule="auto"/>
        <w:rPr>
          <w:rFonts w:ascii="Arial" w:eastAsia="Calibri" w:hAnsi="Arial" w:cs="Arial"/>
          <w:sz w:val="24"/>
          <w:szCs w:val="24"/>
        </w:rPr>
      </w:pPr>
    </w:p>
    <w:bookmarkEnd w:id="0"/>
    <w:p w14:paraId="23279E3E" w14:textId="77777777" w:rsidR="00EA1DBB" w:rsidRDefault="00EA1DBB" w:rsidP="00302509">
      <w:pPr>
        <w:autoSpaceDE w:val="0"/>
        <w:autoSpaceDN w:val="0"/>
        <w:adjustRightInd w:val="0"/>
        <w:spacing w:after="0" w:line="240" w:lineRule="auto"/>
        <w:rPr>
          <w:rFonts w:ascii="Arial" w:hAnsi="Arial" w:cs="Arial"/>
          <w:b/>
          <w:bCs/>
          <w:color w:val="000000"/>
          <w:sz w:val="24"/>
          <w:szCs w:val="24"/>
        </w:rPr>
      </w:pPr>
    </w:p>
    <w:p w14:paraId="2D1F9582" w14:textId="3B1FC53F" w:rsidR="000F5CD4" w:rsidRDefault="000F5CD4" w:rsidP="000F5CD4">
      <w:pPr>
        <w:pStyle w:val="Heading2"/>
      </w:pPr>
      <w:r>
        <w:t>Staff Question-</w:t>
      </w:r>
      <w:r w:rsidR="006F28BF">
        <w:t>1</w:t>
      </w:r>
    </w:p>
    <w:p w14:paraId="2FB7601D" w14:textId="5AB3E6FD" w:rsidR="000F5CD4" w:rsidRDefault="000F5CD4" w:rsidP="000F5CD4">
      <w:pPr>
        <w:pStyle w:val="NoSpacing"/>
        <w:rPr>
          <w:rFonts w:ascii="Arial" w:hAnsi="Arial" w:cs="Arial"/>
          <w:bCs/>
          <w:sz w:val="24"/>
          <w:szCs w:val="24"/>
        </w:rPr>
      </w:pPr>
      <w:r>
        <w:rPr>
          <w:rFonts w:ascii="Arial" w:hAnsi="Arial" w:cs="Arial"/>
          <w:bCs/>
          <w:sz w:val="24"/>
          <w:szCs w:val="24"/>
        </w:rPr>
        <w:t>Ref:</w:t>
      </w:r>
      <w:r>
        <w:rPr>
          <w:rFonts w:ascii="Arial" w:hAnsi="Arial" w:cs="Arial"/>
          <w:bCs/>
          <w:sz w:val="24"/>
          <w:szCs w:val="24"/>
        </w:rPr>
        <w:tab/>
        <w:t>(1) Application, page 41</w:t>
      </w:r>
      <w:r w:rsidR="004D76AB">
        <w:rPr>
          <w:rFonts w:ascii="Arial" w:hAnsi="Arial" w:cs="Arial"/>
          <w:bCs/>
          <w:sz w:val="24"/>
          <w:szCs w:val="24"/>
        </w:rPr>
        <w:t xml:space="preserve"> of 51</w:t>
      </w:r>
    </w:p>
    <w:p w14:paraId="28EF01BE" w14:textId="732078F2" w:rsidR="000F5CD4" w:rsidRDefault="000F5CD4" w:rsidP="000F5CD4">
      <w:pPr>
        <w:pStyle w:val="NoSpacing"/>
        <w:ind w:firstLine="720"/>
        <w:rPr>
          <w:rFonts w:ascii="Arial" w:hAnsi="Arial" w:cs="Arial"/>
          <w:bCs/>
          <w:sz w:val="24"/>
          <w:szCs w:val="24"/>
        </w:rPr>
      </w:pPr>
      <w:r>
        <w:rPr>
          <w:rFonts w:ascii="Arial" w:hAnsi="Arial" w:cs="Arial"/>
          <w:bCs/>
          <w:sz w:val="24"/>
          <w:szCs w:val="24"/>
        </w:rPr>
        <w:t xml:space="preserve">(2) </w:t>
      </w:r>
      <w:r w:rsidRPr="00C426CE">
        <w:rPr>
          <w:rFonts w:ascii="Arial" w:hAnsi="Arial" w:cs="Arial"/>
          <w:bCs/>
          <w:sz w:val="24"/>
          <w:szCs w:val="24"/>
        </w:rPr>
        <w:t>Chapter 3 Filing Requirements, Appendix A</w:t>
      </w:r>
      <w:r>
        <w:rPr>
          <w:rFonts w:ascii="Arial" w:hAnsi="Arial" w:cs="Arial"/>
          <w:bCs/>
          <w:sz w:val="24"/>
          <w:szCs w:val="24"/>
        </w:rPr>
        <w:t>, May 14, 2020</w:t>
      </w:r>
    </w:p>
    <w:p w14:paraId="3FCCE0C3" w14:textId="5503C754" w:rsidR="00687A88" w:rsidRDefault="00687A88" w:rsidP="000F5CD4">
      <w:pPr>
        <w:pStyle w:val="NoSpacing"/>
        <w:ind w:firstLine="720"/>
        <w:rPr>
          <w:rFonts w:ascii="Arial" w:hAnsi="Arial" w:cs="Arial"/>
          <w:bCs/>
          <w:sz w:val="24"/>
          <w:szCs w:val="24"/>
        </w:rPr>
      </w:pPr>
      <w:r>
        <w:rPr>
          <w:rFonts w:ascii="Arial" w:hAnsi="Arial" w:cs="Arial"/>
          <w:bCs/>
          <w:sz w:val="24"/>
          <w:szCs w:val="24"/>
        </w:rPr>
        <w:t xml:space="preserve">(3) </w:t>
      </w:r>
      <w:r w:rsidR="004F6448" w:rsidRPr="00C426CE">
        <w:rPr>
          <w:rFonts w:ascii="Arial" w:hAnsi="Arial" w:cs="Arial"/>
          <w:bCs/>
          <w:sz w:val="24"/>
          <w:szCs w:val="24"/>
        </w:rPr>
        <w:t>Rate Generator Model</w:t>
      </w:r>
      <w:r w:rsidR="00EC6B01">
        <w:rPr>
          <w:rFonts w:ascii="Arial" w:hAnsi="Arial" w:cs="Arial"/>
          <w:bCs/>
          <w:sz w:val="24"/>
          <w:szCs w:val="24"/>
        </w:rPr>
        <w:t>,</w:t>
      </w:r>
      <w:r w:rsidR="00EC6B01" w:rsidRPr="00EC6B01">
        <w:rPr>
          <w:rFonts w:ascii="Arial" w:hAnsi="Arial" w:cs="Arial"/>
          <w:sz w:val="24"/>
          <w:szCs w:val="24"/>
        </w:rPr>
        <w:t xml:space="preserve"> </w:t>
      </w:r>
      <w:r w:rsidR="00EC6B01" w:rsidRPr="00F335A1">
        <w:rPr>
          <w:rFonts w:ascii="Arial" w:hAnsi="Arial" w:cs="Arial"/>
          <w:sz w:val="24"/>
          <w:szCs w:val="24"/>
        </w:rPr>
        <w:t xml:space="preserve">dated Jan </w:t>
      </w:r>
      <w:proofErr w:type="gramStart"/>
      <w:r w:rsidR="00EC6B01" w:rsidRPr="00F335A1">
        <w:rPr>
          <w:rFonts w:ascii="Arial" w:hAnsi="Arial" w:cs="Arial"/>
          <w:sz w:val="24"/>
          <w:szCs w:val="24"/>
        </w:rPr>
        <w:t>2</w:t>
      </w:r>
      <w:r w:rsidR="00644305">
        <w:rPr>
          <w:rFonts w:ascii="Arial" w:hAnsi="Arial" w:cs="Arial"/>
          <w:sz w:val="24"/>
          <w:szCs w:val="24"/>
        </w:rPr>
        <w:t>5</w:t>
      </w:r>
      <w:proofErr w:type="gramEnd"/>
      <w:r w:rsidR="00EC6B01" w:rsidRPr="00F335A1">
        <w:rPr>
          <w:rFonts w:ascii="Arial" w:hAnsi="Arial" w:cs="Arial"/>
          <w:sz w:val="24"/>
          <w:szCs w:val="24"/>
        </w:rPr>
        <w:t xml:space="preserve"> 2021</w:t>
      </w:r>
      <w:r w:rsidR="004F6448">
        <w:rPr>
          <w:rFonts w:ascii="Arial" w:hAnsi="Arial" w:cs="Arial"/>
          <w:bCs/>
          <w:sz w:val="24"/>
          <w:szCs w:val="24"/>
        </w:rPr>
        <w:t xml:space="preserve"> –</w:t>
      </w:r>
      <w:r w:rsidR="004F6448" w:rsidRPr="00C426CE">
        <w:rPr>
          <w:rFonts w:ascii="Arial" w:hAnsi="Arial" w:cs="Arial"/>
          <w:bCs/>
          <w:sz w:val="24"/>
          <w:szCs w:val="24"/>
        </w:rPr>
        <w:t xml:space="preserve"> Tab</w:t>
      </w:r>
      <w:r w:rsidR="00EC6B01">
        <w:rPr>
          <w:rFonts w:ascii="Arial" w:hAnsi="Arial" w:cs="Arial"/>
          <w:bCs/>
          <w:sz w:val="24"/>
          <w:szCs w:val="24"/>
        </w:rPr>
        <w:t>s</w:t>
      </w:r>
      <w:r w:rsidR="004F6448" w:rsidRPr="00C426CE">
        <w:rPr>
          <w:rFonts w:ascii="Arial" w:hAnsi="Arial" w:cs="Arial"/>
          <w:bCs/>
          <w:sz w:val="24"/>
          <w:szCs w:val="24"/>
        </w:rPr>
        <w:t xml:space="preserve"> 3</w:t>
      </w:r>
      <w:r w:rsidR="004F6448">
        <w:rPr>
          <w:rFonts w:ascii="Arial" w:hAnsi="Arial" w:cs="Arial"/>
          <w:bCs/>
          <w:sz w:val="24"/>
          <w:szCs w:val="24"/>
        </w:rPr>
        <w:t xml:space="preserve"> </w:t>
      </w:r>
      <w:r w:rsidR="00EC6B01">
        <w:rPr>
          <w:rFonts w:ascii="Arial" w:hAnsi="Arial" w:cs="Arial"/>
          <w:bCs/>
          <w:sz w:val="24"/>
          <w:szCs w:val="24"/>
        </w:rPr>
        <w:t>and 4</w:t>
      </w:r>
    </w:p>
    <w:p w14:paraId="46F13E12" w14:textId="695EE918" w:rsidR="004F6448" w:rsidRDefault="004F6448" w:rsidP="000F5CD4">
      <w:pPr>
        <w:pStyle w:val="NoSpacing"/>
        <w:ind w:firstLine="720"/>
        <w:rPr>
          <w:rFonts w:ascii="Arial" w:hAnsi="Arial" w:cs="Arial"/>
          <w:bCs/>
          <w:sz w:val="24"/>
          <w:szCs w:val="24"/>
        </w:rPr>
      </w:pPr>
      <w:r>
        <w:rPr>
          <w:rFonts w:ascii="Arial" w:hAnsi="Arial" w:cs="Arial"/>
          <w:bCs/>
          <w:sz w:val="24"/>
          <w:szCs w:val="24"/>
        </w:rPr>
        <w:t xml:space="preserve">(4) </w:t>
      </w:r>
      <w:r w:rsidR="00694644">
        <w:rPr>
          <w:rFonts w:ascii="Arial" w:hAnsi="Arial" w:cs="Arial"/>
          <w:bCs/>
          <w:sz w:val="24"/>
          <w:szCs w:val="24"/>
        </w:rPr>
        <w:t>EB-2019-0052, Decision and Rate Order, April 16, 2020, pages 6 and 7</w:t>
      </w:r>
    </w:p>
    <w:p w14:paraId="6EAB0685" w14:textId="6829A7B7" w:rsidR="000F5CD4" w:rsidRPr="000F5CD4" w:rsidRDefault="000F5CD4" w:rsidP="000F5CD4">
      <w:pPr>
        <w:pStyle w:val="NoSpacing"/>
        <w:rPr>
          <w:rFonts w:ascii="Arial" w:hAnsi="Arial" w:cs="Arial"/>
          <w:bCs/>
          <w:sz w:val="24"/>
          <w:szCs w:val="24"/>
        </w:rPr>
      </w:pPr>
      <w:r>
        <w:rPr>
          <w:rFonts w:ascii="Arial" w:hAnsi="Arial" w:cs="Arial"/>
          <w:bCs/>
          <w:sz w:val="24"/>
          <w:szCs w:val="24"/>
        </w:rPr>
        <w:tab/>
        <w:t xml:space="preserve"> </w:t>
      </w:r>
    </w:p>
    <w:p w14:paraId="32260A89" w14:textId="77777777" w:rsidR="000F5CD4" w:rsidRPr="00A24979" w:rsidRDefault="000F5CD4" w:rsidP="000F5CD4">
      <w:pPr>
        <w:rPr>
          <w:rFonts w:ascii="Arial" w:hAnsi="Arial" w:cs="Arial"/>
          <w:bCs/>
          <w:sz w:val="24"/>
          <w:szCs w:val="24"/>
        </w:rPr>
      </w:pPr>
      <w:r w:rsidRPr="00A24979">
        <w:rPr>
          <w:rFonts w:ascii="Arial" w:hAnsi="Arial" w:cs="Arial"/>
          <w:bCs/>
          <w:sz w:val="24"/>
          <w:szCs w:val="24"/>
        </w:rPr>
        <w:t>Preamble:</w:t>
      </w:r>
    </w:p>
    <w:p w14:paraId="786F0B19" w14:textId="47A4A296" w:rsidR="000F5CD4" w:rsidRDefault="000F5CD4" w:rsidP="000F5CD4">
      <w:pPr>
        <w:rPr>
          <w:rFonts w:ascii="Arial" w:hAnsi="Arial" w:cs="Arial"/>
          <w:bCs/>
          <w:sz w:val="24"/>
          <w:szCs w:val="24"/>
        </w:rPr>
      </w:pPr>
      <w:r>
        <w:rPr>
          <w:rFonts w:ascii="Arial" w:hAnsi="Arial" w:cs="Arial"/>
          <w:bCs/>
          <w:color w:val="000000"/>
          <w:sz w:val="24"/>
          <w:szCs w:val="24"/>
        </w:rPr>
        <w:t xml:space="preserve">As noted in the first reference, </w:t>
      </w:r>
      <w:r w:rsidRPr="008A1F0F">
        <w:rPr>
          <w:rFonts w:ascii="Arial" w:hAnsi="Arial" w:cs="Arial"/>
          <w:bCs/>
          <w:color w:val="000000"/>
          <w:sz w:val="24"/>
          <w:szCs w:val="24"/>
        </w:rPr>
        <w:t>London Hydro request</w:t>
      </w:r>
      <w:r>
        <w:rPr>
          <w:rFonts w:ascii="Arial" w:hAnsi="Arial" w:cs="Arial"/>
          <w:bCs/>
          <w:color w:val="000000"/>
          <w:sz w:val="24"/>
          <w:szCs w:val="24"/>
        </w:rPr>
        <w:t>ed</w:t>
      </w:r>
      <w:r w:rsidRPr="008A1F0F">
        <w:rPr>
          <w:rFonts w:ascii="Arial" w:hAnsi="Arial" w:cs="Arial"/>
          <w:bCs/>
          <w:color w:val="000000"/>
          <w:sz w:val="24"/>
          <w:szCs w:val="24"/>
        </w:rPr>
        <w:t xml:space="preserve"> </w:t>
      </w:r>
      <w:r w:rsidR="006565EC">
        <w:rPr>
          <w:rFonts w:ascii="Arial" w:hAnsi="Arial" w:cs="Arial"/>
          <w:bCs/>
          <w:color w:val="000000"/>
          <w:sz w:val="24"/>
          <w:szCs w:val="24"/>
        </w:rPr>
        <w:t xml:space="preserve">to </w:t>
      </w:r>
      <w:r w:rsidRPr="008A1F0F">
        <w:rPr>
          <w:rFonts w:ascii="Arial" w:hAnsi="Arial" w:cs="Arial"/>
          <w:bCs/>
          <w:color w:val="000000"/>
          <w:sz w:val="24"/>
          <w:szCs w:val="24"/>
        </w:rPr>
        <w:t>dispos</w:t>
      </w:r>
      <w:r w:rsidR="006565EC">
        <w:rPr>
          <w:rFonts w:ascii="Arial" w:hAnsi="Arial" w:cs="Arial"/>
          <w:bCs/>
          <w:color w:val="000000"/>
          <w:sz w:val="24"/>
          <w:szCs w:val="24"/>
        </w:rPr>
        <w:t>e</w:t>
      </w:r>
      <w:r w:rsidRPr="008A1F0F">
        <w:rPr>
          <w:rFonts w:ascii="Arial" w:hAnsi="Arial" w:cs="Arial"/>
          <w:bCs/>
          <w:color w:val="000000"/>
          <w:sz w:val="24"/>
          <w:szCs w:val="24"/>
        </w:rPr>
        <w:t xml:space="preserve"> of the Account 1595 (2017) residual balance</w:t>
      </w:r>
      <w:r w:rsidR="00045B6C">
        <w:rPr>
          <w:rFonts w:ascii="Arial" w:hAnsi="Arial" w:cs="Arial"/>
          <w:bCs/>
          <w:color w:val="000000"/>
          <w:sz w:val="24"/>
          <w:szCs w:val="24"/>
        </w:rPr>
        <w:t>, a</w:t>
      </w:r>
      <w:r w:rsidRPr="008A1F0F">
        <w:rPr>
          <w:rFonts w:ascii="Arial" w:hAnsi="Arial" w:cs="Arial"/>
          <w:bCs/>
          <w:color w:val="000000"/>
          <w:sz w:val="24"/>
          <w:szCs w:val="24"/>
        </w:rPr>
        <w:t xml:space="preserve"> </w:t>
      </w:r>
      <w:r w:rsidR="006565EC" w:rsidRPr="008A1F0F">
        <w:rPr>
          <w:rFonts w:ascii="Arial" w:hAnsi="Arial" w:cs="Arial"/>
          <w:bCs/>
          <w:color w:val="000000"/>
          <w:sz w:val="24"/>
          <w:szCs w:val="24"/>
        </w:rPr>
        <w:t>credit</w:t>
      </w:r>
      <w:r w:rsidR="00045B6C">
        <w:rPr>
          <w:rFonts w:ascii="Arial" w:hAnsi="Arial" w:cs="Arial"/>
          <w:bCs/>
          <w:color w:val="000000"/>
          <w:sz w:val="24"/>
          <w:szCs w:val="24"/>
        </w:rPr>
        <w:t xml:space="preserve"> amount of</w:t>
      </w:r>
      <w:r w:rsidR="006565EC" w:rsidRPr="008A1F0F">
        <w:rPr>
          <w:rFonts w:ascii="Arial" w:hAnsi="Arial" w:cs="Arial"/>
          <w:bCs/>
          <w:color w:val="000000"/>
          <w:sz w:val="24"/>
          <w:szCs w:val="24"/>
        </w:rPr>
        <w:t xml:space="preserve"> </w:t>
      </w:r>
      <w:r>
        <w:rPr>
          <w:rFonts w:ascii="Arial" w:hAnsi="Arial" w:cs="Arial"/>
          <w:bCs/>
          <w:color w:val="000000"/>
          <w:sz w:val="24"/>
          <w:szCs w:val="24"/>
        </w:rPr>
        <w:t>$189,610</w:t>
      </w:r>
      <w:r w:rsidR="00045B6C">
        <w:rPr>
          <w:rFonts w:ascii="Arial" w:hAnsi="Arial" w:cs="Arial"/>
          <w:bCs/>
          <w:color w:val="000000"/>
          <w:sz w:val="24"/>
          <w:szCs w:val="24"/>
        </w:rPr>
        <w:t>,</w:t>
      </w:r>
      <w:r w:rsidRPr="008A1F0F">
        <w:rPr>
          <w:rFonts w:ascii="Arial" w:hAnsi="Arial" w:cs="Arial"/>
          <w:bCs/>
          <w:color w:val="000000"/>
          <w:sz w:val="24"/>
          <w:szCs w:val="24"/>
        </w:rPr>
        <w:t xml:space="preserve"> </w:t>
      </w:r>
      <w:r w:rsidR="006565EC">
        <w:rPr>
          <w:rFonts w:ascii="Arial" w:hAnsi="Arial" w:cs="Arial"/>
          <w:bCs/>
          <w:color w:val="000000"/>
          <w:sz w:val="24"/>
          <w:szCs w:val="24"/>
        </w:rPr>
        <w:t>in this proceeding</w:t>
      </w:r>
      <w:r>
        <w:rPr>
          <w:rFonts w:ascii="Arial" w:hAnsi="Arial" w:cs="Arial"/>
          <w:bCs/>
          <w:sz w:val="24"/>
          <w:szCs w:val="24"/>
        </w:rPr>
        <w:t xml:space="preserve">. </w:t>
      </w:r>
    </w:p>
    <w:p w14:paraId="5709BC69" w14:textId="11FE21BF" w:rsidR="000F5CD4" w:rsidRDefault="000F5CD4" w:rsidP="000F5CD4">
      <w:pPr>
        <w:pStyle w:val="Default"/>
        <w:spacing w:line="276" w:lineRule="auto"/>
        <w:rPr>
          <w:rFonts w:ascii="Arial" w:hAnsi="Arial" w:cs="Arial"/>
          <w:bCs/>
        </w:rPr>
      </w:pPr>
      <w:r>
        <w:rPr>
          <w:rFonts w:ascii="Arial" w:hAnsi="Arial" w:cs="Arial"/>
          <w:bCs/>
        </w:rPr>
        <w:t xml:space="preserve">At the second reference, the Chapter 3 </w:t>
      </w:r>
      <w:r w:rsidRPr="00C426CE">
        <w:rPr>
          <w:rFonts w:ascii="Arial" w:hAnsi="Arial" w:cs="Arial"/>
          <w:bCs/>
        </w:rPr>
        <w:t>Filing Requirements</w:t>
      </w:r>
      <w:r>
        <w:rPr>
          <w:rFonts w:ascii="Arial" w:hAnsi="Arial" w:cs="Arial"/>
          <w:bCs/>
        </w:rPr>
        <w:t xml:space="preserve"> note that the residual balance in sub-accounts of 1595 are eligible for disposition </w:t>
      </w:r>
      <w:r w:rsidRPr="008A1F0F">
        <w:rPr>
          <w:rFonts w:ascii="Arial" w:hAnsi="Arial" w:cs="Arial"/>
          <w:bCs/>
        </w:rPr>
        <w:t>two years after the expiry of the rate rider</w:t>
      </w:r>
      <w:r>
        <w:rPr>
          <w:rFonts w:ascii="Arial" w:hAnsi="Arial" w:cs="Arial"/>
          <w:bCs/>
        </w:rPr>
        <w:t>. As London Hydro’s 2017 rate riders ended on April 30, 2018, the sub-account balance in Account 1595 (2017) would be eligible for disposition in the 2022 rate application</w:t>
      </w:r>
      <w:r w:rsidR="00045B6C">
        <w:rPr>
          <w:rFonts w:ascii="Arial" w:hAnsi="Arial" w:cs="Arial"/>
          <w:bCs/>
        </w:rPr>
        <w:t>, when audited December 31, 2020 balances would be available</w:t>
      </w:r>
      <w:r>
        <w:rPr>
          <w:rFonts w:ascii="Arial" w:hAnsi="Arial" w:cs="Arial"/>
          <w:bCs/>
        </w:rPr>
        <w:t xml:space="preserve">.  </w:t>
      </w:r>
    </w:p>
    <w:p w14:paraId="73E5615C" w14:textId="41D50234" w:rsidR="00687A88" w:rsidRDefault="00687A88" w:rsidP="000F5CD4">
      <w:pPr>
        <w:pStyle w:val="Default"/>
        <w:spacing w:line="276" w:lineRule="auto"/>
        <w:rPr>
          <w:rFonts w:ascii="Arial" w:hAnsi="Arial" w:cs="Arial"/>
          <w:bCs/>
        </w:rPr>
      </w:pPr>
    </w:p>
    <w:p w14:paraId="23C2616E" w14:textId="2AE32767" w:rsidR="00687A88" w:rsidRDefault="001F37B0" w:rsidP="000F5CD4">
      <w:pPr>
        <w:pStyle w:val="Default"/>
        <w:spacing w:line="276" w:lineRule="auto"/>
        <w:rPr>
          <w:rFonts w:ascii="Arial" w:eastAsia="Times New Roman" w:hAnsi="Arial" w:cs="Arial"/>
          <w:lang w:val="en-US"/>
        </w:rPr>
      </w:pPr>
      <w:r>
        <w:rPr>
          <w:rFonts w:ascii="Arial" w:hAnsi="Arial" w:cs="Arial"/>
          <w:bCs/>
        </w:rPr>
        <w:t xml:space="preserve">At the third reference, </w:t>
      </w:r>
      <w:r w:rsidR="004F6448">
        <w:rPr>
          <w:rFonts w:ascii="Arial" w:hAnsi="Arial" w:cs="Arial"/>
          <w:bCs/>
        </w:rPr>
        <w:t>the Rate Generator Model</w:t>
      </w:r>
      <w:r>
        <w:rPr>
          <w:rFonts w:ascii="Arial" w:hAnsi="Arial" w:cs="Arial"/>
          <w:bCs/>
        </w:rPr>
        <w:t xml:space="preserve"> shows that</w:t>
      </w:r>
      <w:r w:rsidR="004F6448">
        <w:rPr>
          <w:rFonts w:ascii="Arial" w:hAnsi="Arial" w:cs="Arial"/>
          <w:bCs/>
        </w:rPr>
        <w:t xml:space="preserve"> the Group 1 account balance inclusive of Account 1595 (2017) is a debit balance of </w:t>
      </w:r>
      <w:r w:rsidR="004F6448" w:rsidRPr="002E4920">
        <w:rPr>
          <w:rFonts w:ascii="Arial" w:hAnsi="Arial" w:cs="Arial"/>
          <w:bCs/>
        </w:rPr>
        <w:t>$</w:t>
      </w:r>
      <w:r w:rsidR="004F6448" w:rsidRPr="002E4920">
        <w:rPr>
          <w:rFonts w:ascii="Arial" w:eastAsia="Times New Roman" w:hAnsi="Arial" w:cs="Arial"/>
          <w:lang w:val="en-US"/>
        </w:rPr>
        <w:t>2,717,953</w:t>
      </w:r>
      <w:r>
        <w:rPr>
          <w:rFonts w:ascii="Arial" w:eastAsia="Times New Roman" w:hAnsi="Arial" w:cs="Arial"/>
          <w:lang w:val="en-US"/>
        </w:rPr>
        <w:t xml:space="preserve">. Although it does not meet the materiality threshold, London Hydro proposes to dispose of </w:t>
      </w:r>
      <w:r w:rsidR="00DE5C82">
        <w:rPr>
          <w:rFonts w:ascii="Arial" w:eastAsia="Times New Roman" w:hAnsi="Arial" w:cs="Arial"/>
          <w:lang w:val="en-US"/>
        </w:rPr>
        <w:t xml:space="preserve">its </w:t>
      </w:r>
      <w:r>
        <w:rPr>
          <w:rFonts w:ascii="Arial" w:eastAsia="Times New Roman" w:hAnsi="Arial" w:cs="Arial"/>
          <w:lang w:val="en-US"/>
        </w:rPr>
        <w:t xml:space="preserve">Group 1 balances. </w:t>
      </w:r>
    </w:p>
    <w:p w14:paraId="0C437F49" w14:textId="3BCBEFB1" w:rsidR="001F37B0" w:rsidRDefault="001F37B0" w:rsidP="000F5CD4">
      <w:pPr>
        <w:pStyle w:val="Default"/>
        <w:spacing w:line="276" w:lineRule="auto"/>
        <w:rPr>
          <w:rFonts w:ascii="Arial" w:eastAsia="Times New Roman" w:hAnsi="Arial" w:cs="Arial"/>
          <w:lang w:val="en-US"/>
        </w:rPr>
      </w:pPr>
    </w:p>
    <w:p w14:paraId="19B72954" w14:textId="3445079C" w:rsidR="001F37B0" w:rsidRDefault="001F37B0" w:rsidP="000F5CD4">
      <w:pPr>
        <w:pStyle w:val="Default"/>
        <w:spacing w:line="276" w:lineRule="auto"/>
        <w:rPr>
          <w:rFonts w:ascii="Arial" w:hAnsi="Arial" w:cs="Arial"/>
          <w:bCs/>
        </w:rPr>
      </w:pPr>
      <w:r>
        <w:rPr>
          <w:rFonts w:ascii="Arial" w:eastAsia="Times New Roman" w:hAnsi="Arial" w:cs="Arial"/>
          <w:lang w:val="en-US"/>
        </w:rPr>
        <w:t xml:space="preserve">At the forth reference, </w:t>
      </w:r>
      <w:r w:rsidR="00694644">
        <w:rPr>
          <w:rFonts w:ascii="Arial" w:eastAsia="Times New Roman" w:hAnsi="Arial" w:cs="Arial"/>
          <w:lang w:val="en-US"/>
        </w:rPr>
        <w:t>the OEB notes</w:t>
      </w:r>
      <w:r w:rsidR="00DE5C82">
        <w:rPr>
          <w:rFonts w:ascii="Arial" w:eastAsia="Times New Roman" w:hAnsi="Arial" w:cs="Arial"/>
          <w:lang w:val="en-US"/>
        </w:rPr>
        <w:t xml:space="preserve"> in its</w:t>
      </w:r>
      <w:r w:rsidR="00694644">
        <w:rPr>
          <w:rFonts w:ascii="Arial" w:eastAsia="Times New Roman" w:hAnsi="Arial" w:cs="Arial"/>
          <w:lang w:val="en-US"/>
        </w:rPr>
        <w:t xml:space="preserve"> 2020 IRM decision that it expects London Hydro will apply for disposition of all Group 1 account balances in its 2021 rate application, even if the disposition threshold is not met, given the passage of time since the last disposition. However, as noted, the OEB will make its final determination on this issue in the </w:t>
      </w:r>
      <w:r w:rsidR="00DE5C82">
        <w:rPr>
          <w:rFonts w:ascii="Arial" w:eastAsia="Times New Roman" w:hAnsi="Arial" w:cs="Arial"/>
          <w:lang w:val="en-US"/>
        </w:rPr>
        <w:t>current proceeding</w:t>
      </w:r>
      <w:r w:rsidR="00694644">
        <w:rPr>
          <w:rFonts w:ascii="Arial" w:eastAsia="Times New Roman" w:hAnsi="Arial" w:cs="Arial"/>
          <w:lang w:val="en-US"/>
        </w:rPr>
        <w:t>.</w:t>
      </w:r>
    </w:p>
    <w:p w14:paraId="2B8DEB93" w14:textId="0D7A2C0A" w:rsidR="000F5CD4" w:rsidRDefault="000F5CD4" w:rsidP="000F5CD4">
      <w:pPr>
        <w:pStyle w:val="Default"/>
        <w:spacing w:line="276" w:lineRule="auto"/>
        <w:rPr>
          <w:rFonts w:ascii="Arial" w:hAnsi="Arial" w:cs="Arial"/>
          <w:bCs/>
        </w:rPr>
      </w:pPr>
    </w:p>
    <w:p w14:paraId="22F835EE" w14:textId="77777777" w:rsidR="00694644" w:rsidRDefault="00694644" w:rsidP="000F5CD4">
      <w:pPr>
        <w:pStyle w:val="Default"/>
        <w:spacing w:line="276" w:lineRule="auto"/>
        <w:rPr>
          <w:rFonts w:ascii="Arial" w:hAnsi="Arial" w:cs="Arial"/>
          <w:bCs/>
        </w:rPr>
      </w:pPr>
    </w:p>
    <w:p w14:paraId="7E9341A9" w14:textId="77777777" w:rsidR="000F5CD4" w:rsidRPr="00040669" w:rsidRDefault="000F5CD4" w:rsidP="000F5CD4">
      <w:pPr>
        <w:rPr>
          <w:rFonts w:ascii="Arial" w:hAnsi="Arial" w:cs="Arial"/>
          <w:bCs/>
          <w:sz w:val="24"/>
          <w:szCs w:val="24"/>
        </w:rPr>
      </w:pPr>
      <w:r w:rsidRPr="00040669">
        <w:rPr>
          <w:rFonts w:ascii="Arial" w:hAnsi="Arial" w:cs="Arial"/>
          <w:bCs/>
          <w:sz w:val="24"/>
          <w:szCs w:val="24"/>
        </w:rPr>
        <w:lastRenderedPageBreak/>
        <w:t>Question(s):</w:t>
      </w:r>
    </w:p>
    <w:p w14:paraId="724AF9BC" w14:textId="762BDFE9" w:rsidR="000F5CD4" w:rsidRDefault="006274A3" w:rsidP="00001518">
      <w:pPr>
        <w:pStyle w:val="ListParagraph"/>
        <w:numPr>
          <w:ilvl w:val="0"/>
          <w:numId w:val="5"/>
        </w:numPr>
        <w:rPr>
          <w:rFonts w:ascii="Arial" w:hAnsi="Arial" w:cs="Arial"/>
          <w:bCs/>
          <w:sz w:val="24"/>
          <w:szCs w:val="24"/>
        </w:rPr>
      </w:pPr>
      <w:r>
        <w:rPr>
          <w:rFonts w:ascii="Arial" w:hAnsi="Arial" w:cs="Arial"/>
          <w:bCs/>
          <w:sz w:val="24"/>
          <w:szCs w:val="24"/>
        </w:rPr>
        <w:t>P</w:t>
      </w:r>
      <w:r w:rsidR="000F5CD4" w:rsidRPr="00EA15FA">
        <w:rPr>
          <w:rFonts w:ascii="Arial" w:hAnsi="Arial" w:cs="Arial"/>
          <w:bCs/>
          <w:sz w:val="24"/>
          <w:szCs w:val="24"/>
        </w:rPr>
        <w:t>lease clarify whether London Hydro maintain</w:t>
      </w:r>
      <w:r w:rsidR="000F5CD4">
        <w:rPr>
          <w:rFonts w:ascii="Arial" w:hAnsi="Arial" w:cs="Arial"/>
          <w:bCs/>
          <w:sz w:val="24"/>
          <w:szCs w:val="24"/>
        </w:rPr>
        <w:t>s</w:t>
      </w:r>
      <w:r w:rsidR="000F5CD4" w:rsidRPr="00EA15FA">
        <w:rPr>
          <w:rFonts w:ascii="Arial" w:hAnsi="Arial" w:cs="Arial"/>
          <w:bCs/>
          <w:sz w:val="24"/>
          <w:szCs w:val="24"/>
        </w:rPr>
        <w:t xml:space="preserve"> its request to dispose of the Account 1595 (2017) residual balance in this </w:t>
      </w:r>
      <w:r w:rsidR="000F5CD4" w:rsidRPr="002E4920">
        <w:rPr>
          <w:rFonts w:ascii="Arial" w:hAnsi="Arial" w:cs="Arial"/>
          <w:bCs/>
          <w:sz w:val="24"/>
          <w:szCs w:val="24"/>
        </w:rPr>
        <w:t xml:space="preserve">proceeding. If so, please </w:t>
      </w:r>
      <w:r w:rsidR="000F76CD">
        <w:rPr>
          <w:rFonts w:ascii="Arial" w:hAnsi="Arial" w:cs="Arial"/>
          <w:bCs/>
          <w:sz w:val="24"/>
          <w:szCs w:val="24"/>
        </w:rPr>
        <w:t>provide rationale</w:t>
      </w:r>
      <w:r w:rsidR="000F5CD4" w:rsidRPr="002E4920">
        <w:rPr>
          <w:rFonts w:ascii="Arial" w:hAnsi="Arial" w:cs="Arial"/>
          <w:bCs/>
          <w:sz w:val="24"/>
          <w:szCs w:val="24"/>
        </w:rPr>
        <w:t>.</w:t>
      </w:r>
    </w:p>
    <w:p w14:paraId="1B08844F" w14:textId="77777777" w:rsidR="000F5CD4" w:rsidRPr="002E4920" w:rsidRDefault="000F5CD4" w:rsidP="000F5CD4">
      <w:pPr>
        <w:pStyle w:val="ListParagraph"/>
        <w:rPr>
          <w:rFonts w:ascii="Arial" w:hAnsi="Arial" w:cs="Arial"/>
          <w:bCs/>
          <w:sz w:val="24"/>
          <w:szCs w:val="24"/>
        </w:rPr>
      </w:pPr>
    </w:p>
    <w:p w14:paraId="3F925607" w14:textId="2726BF6C" w:rsidR="00637DB5" w:rsidRPr="00637DB5" w:rsidRDefault="000F5CD4" w:rsidP="00001518">
      <w:pPr>
        <w:pStyle w:val="ListParagraph"/>
        <w:numPr>
          <w:ilvl w:val="0"/>
          <w:numId w:val="5"/>
        </w:numPr>
        <w:spacing w:after="0"/>
        <w:rPr>
          <w:rFonts w:ascii="Arial" w:eastAsia="Times New Roman" w:hAnsi="Arial" w:cs="Arial"/>
          <w:sz w:val="24"/>
          <w:szCs w:val="24"/>
          <w:lang w:val="en-US"/>
        </w:rPr>
      </w:pPr>
      <w:r w:rsidRPr="002E4920">
        <w:rPr>
          <w:rFonts w:ascii="Arial" w:hAnsi="Arial" w:cs="Arial"/>
          <w:bCs/>
          <w:sz w:val="24"/>
          <w:szCs w:val="24"/>
        </w:rPr>
        <w:t xml:space="preserve">If London Hydro </w:t>
      </w:r>
      <w:r w:rsidR="00DE5C82">
        <w:rPr>
          <w:rFonts w:ascii="Arial" w:hAnsi="Arial" w:cs="Arial"/>
          <w:bCs/>
          <w:sz w:val="24"/>
          <w:szCs w:val="24"/>
        </w:rPr>
        <w:t xml:space="preserve">decides to </w:t>
      </w:r>
      <w:r w:rsidRPr="002E4920">
        <w:rPr>
          <w:rFonts w:ascii="Arial" w:hAnsi="Arial" w:cs="Arial"/>
          <w:bCs/>
          <w:sz w:val="24"/>
          <w:szCs w:val="24"/>
        </w:rPr>
        <w:t xml:space="preserve">withdraw the request to dispose </w:t>
      </w:r>
      <w:r w:rsidR="00DE5C82">
        <w:rPr>
          <w:rFonts w:ascii="Arial" w:hAnsi="Arial" w:cs="Arial"/>
          <w:bCs/>
          <w:sz w:val="24"/>
          <w:szCs w:val="24"/>
        </w:rPr>
        <w:t xml:space="preserve">of </w:t>
      </w:r>
      <w:r w:rsidRPr="002E4920">
        <w:rPr>
          <w:rFonts w:ascii="Arial" w:hAnsi="Arial" w:cs="Arial"/>
          <w:bCs/>
          <w:sz w:val="24"/>
          <w:szCs w:val="24"/>
        </w:rPr>
        <w:t xml:space="preserve">the Account 1595 (2017) residual balance in this proceeding, </w:t>
      </w:r>
      <w:r w:rsidR="00730ED2">
        <w:rPr>
          <w:rFonts w:ascii="Arial" w:eastAsia="Times New Roman" w:hAnsi="Arial" w:cs="Arial"/>
          <w:sz w:val="24"/>
          <w:szCs w:val="24"/>
          <w:lang w:val="en-US"/>
        </w:rPr>
        <w:t>p</w:t>
      </w:r>
      <w:r w:rsidRPr="002E4920">
        <w:rPr>
          <w:rFonts w:ascii="Arial" w:eastAsia="Times New Roman" w:hAnsi="Arial" w:cs="Arial"/>
          <w:sz w:val="24"/>
          <w:szCs w:val="24"/>
          <w:lang w:val="en-US"/>
        </w:rPr>
        <w:t xml:space="preserve">lease confirm </w:t>
      </w:r>
      <w:r w:rsidR="00694644">
        <w:rPr>
          <w:rFonts w:ascii="Arial" w:eastAsia="Times New Roman" w:hAnsi="Arial" w:cs="Arial"/>
          <w:sz w:val="24"/>
          <w:szCs w:val="24"/>
          <w:lang w:val="en-US"/>
        </w:rPr>
        <w:t>whether</w:t>
      </w:r>
      <w:r>
        <w:rPr>
          <w:rFonts w:ascii="Arial" w:eastAsia="Times New Roman" w:hAnsi="Arial" w:cs="Arial"/>
          <w:sz w:val="24"/>
          <w:szCs w:val="24"/>
          <w:lang w:val="en-US"/>
        </w:rPr>
        <w:t xml:space="preserve"> </w:t>
      </w:r>
      <w:r w:rsidR="00694644">
        <w:rPr>
          <w:rFonts w:ascii="Arial" w:eastAsia="Times New Roman" w:hAnsi="Arial" w:cs="Arial"/>
          <w:sz w:val="24"/>
          <w:szCs w:val="24"/>
          <w:lang w:val="en-US"/>
        </w:rPr>
        <w:t>London Hydro</w:t>
      </w:r>
      <w:r w:rsidR="00DB1FFC">
        <w:rPr>
          <w:rFonts w:ascii="Arial" w:eastAsia="Times New Roman" w:hAnsi="Arial" w:cs="Arial"/>
          <w:sz w:val="24"/>
          <w:szCs w:val="24"/>
          <w:lang w:val="en-US"/>
        </w:rPr>
        <w:t xml:space="preserve"> maintains its position to</w:t>
      </w:r>
      <w:r>
        <w:rPr>
          <w:rFonts w:ascii="Arial" w:eastAsia="Times New Roman" w:hAnsi="Arial" w:cs="Arial"/>
          <w:sz w:val="24"/>
          <w:szCs w:val="24"/>
          <w:lang w:val="en-US"/>
        </w:rPr>
        <w:t xml:space="preserve"> </w:t>
      </w:r>
      <w:r w:rsidRPr="002E4920">
        <w:rPr>
          <w:rFonts w:ascii="Arial" w:eastAsia="Times New Roman" w:hAnsi="Arial" w:cs="Arial"/>
          <w:sz w:val="24"/>
          <w:szCs w:val="24"/>
          <w:lang w:val="en-US"/>
        </w:rPr>
        <w:t>dispos</w:t>
      </w:r>
      <w:r w:rsidR="00DB1FFC">
        <w:rPr>
          <w:rFonts w:ascii="Arial" w:eastAsia="Times New Roman" w:hAnsi="Arial" w:cs="Arial"/>
          <w:sz w:val="24"/>
          <w:szCs w:val="24"/>
          <w:lang w:val="en-US"/>
        </w:rPr>
        <w:t>e</w:t>
      </w:r>
      <w:r w:rsidRPr="002E4920">
        <w:rPr>
          <w:rFonts w:ascii="Arial" w:eastAsia="Times New Roman" w:hAnsi="Arial" w:cs="Arial"/>
          <w:sz w:val="24"/>
          <w:szCs w:val="24"/>
          <w:lang w:val="en-US"/>
        </w:rPr>
        <w:t xml:space="preserve"> of </w:t>
      </w:r>
      <w:r w:rsidR="00DE5C82">
        <w:rPr>
          <w:rFonts w:ascii="Arial" w:eastAsia="Times New Roman" w:hAnsi="Arial" w:cs="Arial"/>
          <w:sz w:val="24"/>
          <w:szCs w:val="24"/>
          <w:lang w:val="en-US"/>
        </w:rPr>
        <w:t>all</w:t>
      </w:r>
      <w:r w:rsidR="00694644">
        <w:rPr>
          <w:rFonts w:ascii="Arial" w:eastAsia="Times New Roman" w:hAnsi="Arial" w:cs="Arial"/>
          <w:sz w:val="24"/>
          <w:szCs w:val="24"/>
          <w:lang w:val="en-US"/>
        </w:rPr>
        <w:t xml:space="preserve"> </w:t>
      </w:r>
      <w:r w:rsidRPr="002E4920">
        <w:rPr>
          <w:rFonts w:ascii="Arial" w:eastAsia="Times New Roman" w:hAnsi="Arial" w:cs="Arial"/>
          <w:sz w:val="24"/>
          <w:szCs w:val="24"/>
          <w:lang w:val="en-US"/>
        </w:rPr>
        <w:t>Group 1 accounts</w:t>
      </w:r>
      <w:r w:rsidR="00DE5C82">
        <w:rPr>
          <w:rFonts w:ascii="Arial" w:eastAsia="Times New Roman" w:hAnsi="Arial" w:cs="Arial"/>
          <w:sz w:val="24"/>
          <w:szCs w:val="24"/>
          <w:lang w:val="en-US"/>
        </w:rPr>
        <w:t xml:space="preserve"> as it is still below the </w:t>
      </w:r>
      <w:r w:rsidR="00DE5C82" w:rsidRPr="00637DB5">
        <w:rPr>
          <w:rFonts w:ascii="Arial" w:eastAsia="Times New Roman" w:hAnsi="Arial" w:cs="Arial"/>
          <w:sz w:val="24"/>
          <w:szCs w:val="24"/>
          <w:lang w:val="en-US"/>
        </w:rPr>
        <w:t>materiality threshold</w:t>
      </w:r>
      <w:r w:rsidRPr="00637DB5">
        <w:rPr>
          <w:rFonts w:ascii="Arial" w:eastAsia="Times New Roman" w:hAnsi="Arial" w:cs="Arial"/>
          <w:sz w:val="24"/>
          <w:szCs w:val="24"/>
          <w:lang w:val="en-US"/>
        </w:rPr>
        <w:t>.</w:t>
      </w:r>
    </w:p>
    <w:p w14:paraId="415B9F8D" w14:textId="5DD4962E" w:rsidR="000F5CD4" w:rsidRPr="00637DB5" w:rsidRDefault="000F5CD4" w:rsidP="00637DB5">
      <w:pPr>
        <w:pStyle w:val="ListParagraph"/>
        <w:spacing w:after="0"/>
        <w:rPr>
          <w:rFonts w:ascii="Arial" w:eastAsia="Times New Roman" w:hAnsi="Arial" w:cs="Arial"/>
          <w:sz w:val="24"/>
          <w:szCs w:val="24"/>
          <w:lang w:val="en-US"/>
        </w:rPr>
      </w:pPr>
    </w:p>
    <w:p w14:paraId="7304C09B" w14:textId="08B14074" w:rsidR="000F5CD4" w:rsidRPr="006E3346" w:rsidRDefault="00637DB5" w:rsidP="00637DB5">
      <w:pPr>
        <w:pStyle w:val="ListParagraph"/>
        <w:numPr>
          <w:ilvl w:val="0"/>
          <w:numId w:val="5"/>
        </w:numPr>
        <w:spacing w:after="0"/>
        <w:rPr>
          <w:rFonts w:ascii="Arial" w:eastAsia="Times New Roman" w:hAnsi="Arial" w:cs="Arial"/>
          <w:sz w:val="24"/>
          <w:szCs w:val="24"/>
          <w:lang w:val="en-US"/>
        </w:rPr>
      </w:pPr>
      <w:r w:rsidRPr="006E3346">
        <w:rPr>
          <w:rFonts w:ascii="Arial" w:eastAsia="Times New Roman" w:hAnsi="Arial" w:cs="Arial"/>
          <w:sz w:val="24"/>
          <w:szCs w:val="24"/>
          <w:lang w:val="en-US"/>
        </w:rPr>
        <w:t xml:space="preserve">Please confirm that London Hydro seeks to dispose of its Group 1 account balances on a final basis in this proceeding. </w:t>
      </w:r>
    </w:p>
    <w:p w14:paraId="185DF917" w14:textId="77777777" w:rsidR="000F5CD4" w:rsidRPr="000D25A0" w:rsidRDefault="000F5CD4" w:rsidP="000F5CD4">
      <w:pPr>
        <w:pStyle w:val="ListParagraph"/>
        <w:rPr>
          <w:rFonts w:ascii="Arial" w:hAnsi="Arial" w:cs="Arial"/>
          <w:bCs/>
          <w:sz w:val="24"/>
          <w:szCs w:val="24"/>
        </w:rPr>
      </w:pPr>
    </w:p>
    <w:p w14:paraId="7CFAFC4F" w14:textId="1E804AA6" w:rsidR="00D57E8C" w:rsidRDefault="00D57E8C" w:rsidP="00471CBA">
      <w:pPr>
        <w:pStyle w:val="Heading2"/>
      </w:pPr>
      <w:r>
        <w:t>Staff Question-</w:t>
      </w:r>
      <w:r w:rsidR="006F28BF">
        <w:t>2</w:t>
      </w:r>
    </w:p>
    <w:p w14:paraId="36D3FAD4" w14:textId="07DDA950" w:rsidR="005675D3" w:rsidRPr="00C426CE" w:rsidRDefault="002C5131" w:rsidP="005675D3">
      <w:pPr>
        <w:pStyle w:val="NoSpacing"/>
        <w:rPr>
          <w:rFonts w:ascii="Arial" w:hAnsi="Arial" w:cs="Arial"/>
          <w:bCs/>
          <w:sz w:val="24"/>
          <w:szCs w:val="24"/>
        </w:rPr>
      </w:pPr>
      <w:r w:rsidRPr="00C426CE">
        <w:rPr>
          <w:rFonts w:ascii="Arial" w:hAnsi="Arial" w:cs="Arial"/>
          <w:bCs/>
          <w:sz w:val="24"/>
          <w:szCs w:val="24"/>
        </w:rPr>
        <w:t>Ref:</w:t>
      </w:r>
      <w:r w:rsidRPr="00C426CE">
        <w:rPr>
          <w:rFonts w:ascii="Arial" w:hAnsi="Arial" w:cs="Arial"/>
          <w:bCs/>
          <w:sz w:val="24"/>
          <w:szCs w:val="24"/>
        </w:rPr>
        <w:tab/>
      </w:r>
      <w:r w:rsidR="005675D3">
        <w:rPr>
          <w:rFonts w:ascii="Arial" w:hAnsi="Arial" w:cs="Arial"/>
          <w:bCs/>
          <w:sz w:val="24"/>
          <w:szCs w:val="24"/>
        </w:rPr>
        <w:t xml:space="preserve">(1) </w:t>
      </w:r>
      <w:r w:rsidR="005675D3" w:rsidRPr="00C426CE">
        <w:rPr>
          <w:rFonts w:ascii="Arial" w:hAnsi="Arial" w:cs="Arial"/>
          <w:bCs/>
          <w:sz w:val="24"/>
          <w:szCs w:val="24"/>
        </w:rPr>
        <w:t>Chapter 3 Filing Requirements, Appendix A</w:t>
      </w:r>
      <w:r w:rsidR="005675D3">
        <w:rPr>
          <w:rFonts w:ascii="Arial" w:hAnsi="Arial" w:cs="Arial"/>
          <w:bCs/>
          <w:sz w:val="24"/>
          <w:szCs w:val="24"/>
        </w:rPr>
        <w:t>, May 14, 2020</w:t>
      </w:r>
    </w:p>
    <w:p w14:paraId="1CED13C5" w14:textId="2A457452" w:rsidR="005675D3" w:rsidRPr="00C426CE" w:rsidRDefault="005675D3" w:rsidP="005675D3">
      <w:pPr>
        <w:pStyle w:val="NoSpacing"/>
        <w:ind w:firstLine="720"/>
        <w:rPr>
          <w:rFonts w:ascii="Arial" w:hAnsi="Arial" w:cs="Arial"/>
          <w:bCs/>
          <w:sz w:val="24"/>
          <w:szCs w:val="24"/>
        </w:rPr>
      </w:pPr>
      <w:r>
        <w:rPr>
          <w:rFonts w:ascii="Arial" w:hAnsi="Arial" w:cs="Arial"/>
          <w:bCs/>
          <w:sz w:val="24"/>
          <w:szCs w:val="24"/>
        </w:rPr>
        <w:t xml:space="preserve">(2) </w:t>
      </w:r>
      <w:r w:rsidRPr="00C426CE">
        <w:rPr>
          <w:rFonts w:ascii="Arial" w:hAnsi="Arial" w:cs="Arial"/>
          <w:bCs/>
          <w:sz w:val="24"/>
          <w:szCs w:val="24"/>
        </w:rPr>
        <w:t>Application, pages 38 and 39</w:t>
      </w:r>
      <w:r w:rsidR="004D76AB">
        <w:rPr>
          <w:rFonts w:ascii="Arial" w:hAnsi="Arial" w:cs="Arial"/>
          <w:bCs/>
          <w:sz w:val="24"/>
          <w:szCs w:val="24"/>
        </w:rPr>
        <w:t xml:space="preserve"> of 51</w:t>
      </w:r>
    </w:p>
    <w:p w14:paraId="7868C2B8" w14:textId="40471C49" w:rsidR="00A24979" w:rsidRPr="00C426CE" w:rsidRDefault="00A24979" w:rsidP="00A24979">
      <w:pPr>
        <w:pStyle w:val="NoSpacing"/>
        <w:ind w:left="1080" w:hanging="360"/>
        <w:rPr>
          <w:rFonts w:ascii="Arial" w:hAnsi="Arial" w:cs="Arial"/>
          <w:bCs/>
          <w:sz w:val="24"/>
          <w:szCs w:val="24"/>
        </w:rPr>
      </w:pPr>
      <w:r>
        <w:rPr>
          <w:rFonts w:ascii="Arial" w:hAnsi="Arial" w:cs="Arial"/>
          <w:bCs/>
          <w:sz w:val="24"/>
          <w:szCs w:val="24"/>
        </w:rPr>
        <w:t>(</w:t>
      </w:r>
      <w:r w:rsidR="00412AA4">
        <w:rPr>
          <w:rFonts w:ascii="Arial" w:hAnsi="Arial" w:cs="Arial"/>
          <w:bCs/>
          <w:sz w:val="24"/>
          <w:szCs w:val="24"/>
        </w:rPr>
        <w:t>3</w:t>
      </w:r>
      <w:r>
        <w:rPr>
          <w:rFonts w:ascii="Arial" w:hAnsi="Arial" w:cs="Arial"/>
          <w:bCs/>
          <w:sz w:val="24"/>
          <w:szCs w:val="24"/>
        </w:rPr>
        <w:t xml:space="preserve">) </w:t>
      </w:r>
      <w:r w:rsidR="002C5131" w:rsidRPr="00C426CE">
        <w:rPr>
          <w:rFonts w:ascii="Arial" w:hAnsi="Arial" w:cs="Arial"/>
          <w:bCs/>
          <w:sz w:val="24"/>
          <w:szCs w:val="24"/>
        </w:rPr>
        <w:t>Rate Generator Model</w:t>
      </w:r>
      <w:r w:rsidR="00EC6B01">
        <w:rPr>
          <w:rFonts w:ascii="Arial" w:hAnsi="Arial" w:cs="Arial"/>
          <w:bCs/>
          <w:sz w:val="24"/>
          <w:szCs w:val="24"/>
        </w:rPr>
        <w:t>,</w:t>
      </w:r>
      <w:r w:rsidR="00EC6B01" w:rsidRPr="00EC6B01">
        <w:rPr>
          <w:rFonts w:ascii="Arial" w:hAnsi="Arial" w:cs="Arial"/>
          <w:sz w:val="24"/>
          <w:szCs w:val="24"/>
        </w:rPr>
        <w:t xml:space="preserve"> </w:t>
      </w:r>
      <w:r w:rsidR="00EC6B01" w:rsidRPr="00F335A1">
        <w:rPr>
          <w:rFonts w:ascii="Arial" w:hAnsi="Arial" w:cs="Arial"/>
          <w:sz w:val="24"/>
          <w:szCs w:val="24"/>
        </w:rPr>
        <w:t xml:space="preserve">dated Jan </w:t>
      </w:r>
      <w:proofErr w:type="gramStart"/>
      <w:r w:rsidR="00EC6B01" w:rsidRPr="00F335A1">
        <w:rPr>
          <w:rFonts w:ascii="Arial" w:hAnsi="Arial" w:cs="Arial"/>
          <w:sz w:val="24"/>
          <w:szCs w:val="24"/>
        </w:rPr>
        <w:t>2</w:t>
      </w:r>
      <w:r w:rsidR="00644305">
        <w:rPr>
          <w:rFonts w:ascii="Arial" w:hAnsi="Arial" w:cs="Arial"/>
          <w:sz w:val="24"/>
          <w:szCs w:val="24"/>
        </w:rPr>
        <w:t>5</w:t>
      </w:r>
      <w:proofErr w:type="gramEnd"/>
      <w:r w:rsidR="00EC6B01" w:rsidRPr="00F335A1">
        <w:rPr>
          <w:rFonts w:ascii="Arial" w:hAnsi="Arial" w:cs="Arial"/>
          <w:sz w:val="24"/>
          <w:szCs w:val="24"/>
        </w:rPr>
        <w:t xml:space="preserve"> 2021</w:t>
      </w:r>
      <w:r w:rsidR="004572BD">
        <w:rPr>
          <w:rFonts w:ascii="Arial" w:hAnsi="Arial" w:cs="Arial"/>
          <w:bCs/>
          <w:sz w:val="24"/>
          <w:szCs w:val="24"/>
        </w:rPr>
        <w:t xml:space="preserve"> –</w:t>
      </w:r>
      <w:r w:rsidR="002C5131" w:rsidRPr="00C426CE">
        <w:rPr>
          <w:rFonts w:ascii="Arial" w:hAnsi="Arial" w:cs="Arial"/>
          <w:bCs/>
          <w:sz w:val="24"/>
          <w:szCs w:val="24"/>
        </w:rPr>
        <w:t xml:space="preserve"> Tab 3 (</w:t>
      </w:r>
      <w:r w:rsidR="00406D05">
        <w:rPr>
          <w:rFonts w:ascii="Arial" w:hAnsi="Arial" w:cs="Arial"/>
          <w:bCs/>
          <w:sz w:val="24"/>
          <w:szCs w:val="24"/>
        </w:rPr>
        <w:t xml:space="preserve">2018 </w:t>
      </w:r>
      <w:r>
        <w:rPr>
          <w:rFonts w:ascii="Arial" w:hAnsi="Arial" w:cs="Arial"/>
          <w:bCs/>
          <w:sz w:val="24"/>
          <w:szCs w:val="24"/>
        </w:rPr>
        <w:t>principal adjustment to Account 1580 CBR class B</w:t>
      </w:r>
      <w:r w:rsidR="002C5131" w:rsidRPr="00C426CE">
        <w:rPr>
          <w:rFonts w:ascii="Arial" w:hAnsi="Arial" w:cs="Arial"/>
          <w:bCs/>
          <w:sz w:val="24"/>
          <w:szCs w:val="24"/>
        </w:rPr>
        <w:t>)</w:t>
      </w:r>
    </w:p>
    <w:p w14:paraId="130F0D92" w14:textId="77777777" w:rsidR="00C426CE" w:rsidRDefault="00C426CE" w:rsidP="00C426CE">
      <w:pPr>
        <w:pStyle w:val="NoSpacing"/>
      </w:pPr>
    </w:p>
    <w:p w14:paraId="5B1C31AA" w14:textId="76DCE376" w:rsidR="002C5131" w:rsidRDefault="002C5131" w:rsidP="008E6045">
      <w:pPr>
        <w:rPr>
          <w:rFonts w:ascii="Arial" w:hAnsi="Arial" w:cs="Arial"/>
          <w:bCs/>
          <w:sz w:val="24"/>
          <w:szCs w:val="24"/>
        </w:rPr>
      </w:pPr>
      <w:r>
        <w:rPr>
          <w:rFonts w:ascii="Arial" w:hAnsi="Arial" w:cs="Arial"/>
          <w:bCs/>
          <w:sz w:val="24"/>
          <w:szCs w:val="24"/>
        </w:rPr>
        <w:t>Preamble:</w:t>
      </w:r>
    </w:p>
    <w:p w14:paraId="68225BB8" w14:textId="4D924A55" w:rsidR="005675D3" w:rsidRDefault="005675D3" w:rsidP="005675D3">
      <w:pPr>
        <w:rPr>
          <w:rFonts w:ascii="Arial" w:hAnsi="Arial" w:cs="Arial"/>
          <w:bCs/>
          <w:sz w:val="24"/>
          <w:szCs w:val="24"/>
        </w:rPr>
      </w:pPr>
      <w:r>
        <w:rPr>
          <w:rFonts w:ascii="Arial" w:hAnsi="Arial" w:cs="Arial"/>
          <w:bCs/>
          <w:sz w:val="24"/>
          <w:szCs w:val="24"/>
        </w:rPr>
        <w:t xml:space="preserve">At the first reference, the Chapter 3 Filing </w:t>
      </w:r>
      <w:r w:rsidRPr="00C426CE">
        <w:rPr>
          <w:rFonts w:ascii="Arial" w:hAnsi="Arial" w:cs="Arial"/>
          <w:bCs/>
          <w:sz w:val="24"/>
          <w:szCs w:val="24"/>
        </w:rPr>
        <w:t>Requirements</w:t>
      </w:r>
      <w:r>
        <w:rPr>
          <w:rFonts w:ascii="Arial" w:hAnsi="Arial" w:cs="Arial"/>
          <w:bCs/>
          <w:sz w:val="24"/>
          <w:szCs w:val="24"/>
        </w:rPr>
        <w:t xml:space="preserve"> state that if 2018 rate riders end on April 30, 2019, the sub-account balance in 1595 (2018) would be eligible for disposition in the 2023 rate application</w:t>
      </w:r>
      <w:r w:rsidR="00045B6C">
        <w:rPr>
          <w:rFonts w:ascii="Arial" w:hAnsi="Arial" w:cs="Arial"/>
          <w:bCs/>
          <w:sz w:val="24"/>
          <w:szCs w:val="24"/>
        </w:rPr>
        <w:t>, when audited 2021 balances would be available</w:t>
      </w:r>
      <w:r>
        <w:rPr>
          <w:rFonts w:ascii="Arial" w:hAnsi="Arial" w:cs="Arial"/>
          <w:bCs/>
          <w:sz w:val="24"/>
          <w:szCs w:val="24"/>
        </w:rPr>
        <w:t xml:space="preserve">. </w:t>
      </w:r>
    </w:p>
    <w:p w14:paraId="7595B7BA" w14:textId="1AFC979C" w:rsidR="005675D3" w:rsidRPr="002C5131" w:rsidRDefault="00730ED2" w:rsidP="005675D3">
      <w:pPr>
        <w:rPr>
          <w:rFonts w:ascii="Arial" w:hAnsi="Arial" w:cs="Arial"/>
          <w:bCs/>
          <w:sz w:val="24"/>
          <w:szCs w:val="24"/>
        </w:rPr>
      </w:pPr>
      <w:r>
        <w:rPr>
          <w:rFonts w:ascii="Arial" w:hAnsi="Arial" w:cs="Arial"/>
          <w:bCs/>
          <w:sz w:val="24"/>
          <w:szCs w:val="24"/>
        </w:rPr>
        <w:t>A</w:t>
      </w:r>
      <w:r w:rsidR="00EC0D96">
        <w:rPr>
          <w:rFonts w:ascii="Arial" w:hAnsi="Arial" w:cs="Arial"/>
          <w:bCs/>
          <w:sz w:val="24"/>
          <w:szCs w:val="24"/>
        </w:rPr>
        <w:t>t</w:t>
      </w:r>
      <w:r>
        <w:rPr>
          <w:rFonts w:ascii="Arial" w:hAnsi="Arial" w:cs="Arial"/>
          <w:bCs/>
          <w:sz w:val="24"/>
          <w:szCs w:val="24"/>
        </w:rPr>
        <w:t xml:space="preserve"> the second reference, </w:t>
      </w:r>
      <w:r w:rsidR="002C5131" w:rsidRPr="002C5131">
        <w:rPr>
          <w:rFonts w:ascii="Arial" w:hAnsi="Arial" w:cs="Arial"/>
          <w:bCs/>
          <w:sz w:val="24"/>
          <w:szCs w:val="24"/>
        </w:rPr>
        <w:t xml:space="preserve">London Hydro proposes to dispose of the 2016 CBR B variance </w:t>
      </w:r>
      <w:r w:rsidR="00E15A73">
        <w:rPr>
          <w:rFonts w:ascii="Arial" w:hAnsi="Arial" w:cs="Arial"/>
          <w:bCs/>
          <w:sz w:val="24"/>
          <w:szCs w:val="24"/>
        </w:rPr>
        <w:t xml:space="preserve">in </w:t>
      </w:r>
      <w:r w:rsidR="002C5131" w:rsidRPr="002C5131">
        <w:rPr>
          <w:rFonts w:ascii="Arial" w:hAnsi="Arial" w:cs="Arial"/>
          <w:bCs/>
          <w:sz w:val="24"/>
          <w:szCs w:val="24"/>
        </w:rPr>
        <w:t>Account 1595</w:t>
      </w:r>
      <w:r w:rsidR="002C5131">
        <w:rPr>
          <w:rFonts w:ascii="Arial" w:hAnsi="Arial" w:cs="Arial"/>
          <w:bCs/>
          <w:sz w:val="24"/>
          <w:szCs w:val="24"/>
        </w:rPr>
        <w:t xml:space="preserve"> </w:t>
      </w:r>
      <w:r w:rsidR="002C5131" w:rsidRPr="002C5131">
        <w:rPr>
          <w:rFonts w:ascii="Arial" w:hAnsi="Arial" w:cs="Arial"/>
          <w:bCs/>
          <w:sz w:val="24"/>
          <w:szCs w:val="24"/>
        </w:rPr>
        <w:t>(2018) with the 2017-2019 Account 1580 sub-account CBR class B</w:t>
      </w:r>
      <w:r w:rsidR="002512D1">
        <w:rPr>
          <w:rFonts w:ascii="Arial" w:hAnsi="Arial" w:cs="Arial"/>
          <w:bCs/>
          <w:sz w:val="24"/>
          <w:szCs w:val="24"/>
        </w:rPr>
        <w:t xml:space="preserve"> </w:t>
      </w:r>
      <w:r w:rsidR="00E15A73">
        <w:rPr>
          <w:rFonts w:ascii="Arial" w:hAnsi="Arial" w:cs="Arial"/>
          <w:bCs/>
          <w:sz w:val="24"/>
          <w:szCs w:val="24"/>
        </w:rPr>
        <w:t>in this proceeding</w:t>
      </w:r>
      <w:r w:rsidR="00A850AB">
        <w:rPr>
          <w:rFonts w:ascii="Arial" w:hAnsi="Arial" w:cs="Arial"/>
          <w:bCs/>
          <w:sz w:val="24"/>
          <w:szCs w:val="24"/>
        </w:rPr>
        <w:t xml:space="preserve">. </w:t>
      </w:r>
      <w:r w:rsidR="004D76AB">
        <w:rPr>
          <w:rFonts w:ascii="Arial" w:hAnsi="Arial" w:cs="Arial"/>
          <w:bCs/>
          <w:sz w:val="24"/>
          <w:szCs w:val="24"/>
        </w:rPr>
        <w:t>S</w:t>
      </w:r>
      <w:r w:rsidR="00E15A73">
        <w:rPr>
          <w:rFonts w:ascii="Arial" w:hAnsi="Arial" w:cs="Arial"/>
          <w:bCs/>
          <w:sz w:val="24"/>
          <w:szCs w:val="24"/>
        </w:rPr>
        <w:t xml:space="preserve">ince </w:t>
      </w:r>
      <w:r w:rsidR="005675D3">
        <w:rPr>
          <w:rFonts w:ascii="Arial" w:hAnsi="Arial" w:cs="Arial"/>
          <w:bCs/>
          <w:sz w:val="24"/>
          <w:szCs w:val="24"/>
        </w:rPr>
        <w:t xml:space="preserve">the </w:t>
      </w:r>
      <w:r w:rsidR="005675D3" w:rsidRPr="002C5131">
        <w:rPr>
          <w:rFonts w:ascii="Arial" w:hAnsi="Arial" w:cs="Arial"/>
          <w:bCs/>
          <w:sz w:val="24"/>
          <w:szCs w:val="24"/>
        </w:rPr>
        <w:t xml:space="preserve">2016 CBR B </w:t>
      </w:r>
      <w:r w:rsidR="005675D3">
        <w:rPr>
          <w:rFonts w:ascii="Arial" w:hAnsi="Arial" w:cs="Arial"/>
          <w:bCs/>
          <w:sz w:val="24"/>
          <w:szCs w:val="24"/>
        </w:rPr>
        <w:t xml:space="preserve">balance </w:t>
      </w:r>
      <w:r w:rsidR="004D76AB">
        <w:rPr>
          <w:rFonts w:ascii="Arial" w:hAnsi="Arial" w:cs="Arial"/>
          <w:bCs/>
          <w:sz w:val="24"/>
          <w:szCs w:val="24"/>
        </w:rPr>
        <w:t>w</w:t>
      </w:r>
      <w:r w:rsidR="005675D3">
        <w:rPr>
          <w:rFonts w:ascii="Arial" w:hAnsi="Arial" w:cs="Arial"/>
          <w:bCs/>
          <w:sz w:val="24"/>
          <w:szCs w:val="24"/>
        </w:rPr>
        <w:t xml:space="preserve">as approved </w:t>
      </w:r>
      <w:r w:rsidR="004D76AB">
        <w:rPr>
          <w:rFonts w:ascii="Arial" w:hAnsi="Arial" w:cs="Arial"/>
          <w:bCs/>
          <w:sz w:val="24"/>
          <w:szCs w:val="24"/>
        </w:rPr>
        <w:t xml:space="preserve">for disposition </w:t>
      </w:r>
      <w:r w:rsidR="005675D3">
        <w:rPr>
          <w:rFonts w:ascii="Arial" w:hAnsi="Arial" w:cs="Arial"/>
          <w:bCs/>
          <w:sz w:val="24"/>
          <w:szCs w:val="24"/>
        </w:rPr>
        <w:t>in the 2018 decision</w:t>
      </w:r>
      <w:r w:rsidR="005D3148">
        <w:rPr>
          <w:rFonts w:ascii="Arial" w:hAnsi="Arial" w:cs="Arial"/>
          <w:bCs/>
          <w:sz w:val="24"/>
          <w:szCs w:val="24"/>
        </w:rPr>
        <w:t>,</w:t>
      </w:r>
      <w:r w:rsidR="005675D3">
        <w:rPr>
          <w:rStyle w:val="FootnoteReference"/>
          <w:rFonts w:ascii="Arial" w:hAnsi="Arial" w:cs="Arial"/>
          <w:bCs/>
          <w:sz w:val="24"/>
          <w:szCs w:val="24"/>
        </w:rPr>
        <w:footnoteReference w:id="1"/>
      </w:r>
      <w:r w:rsidR="005675D3">
        <w:rPr>
          <w:rFonts w:ascii="Arial" w:hAnsi="Arial" w:cs="Arial"/>
          <w:bCs/>
          <w:sz w:val="24"/>
          <w:szCs w:val="24"/>
        </w:rPr>
        <w:t xml:space="preserve"> </w:t>
      </w:r>
      <w:r w:rsidR="004D76AB">
        <w:rPr>
          <w:rFonts w:ascii="Arial" w:hAnsi="Arial" w:cs="Arial"/>
          <w:bCs/>
          <w:sz w:val="24"/>
          <w:szCs w:val="24"/>
        </w:rPr>
        <w:t>London Hydro</w:t>
      </w:r>
      <w:r w:rsidR="005675D3">
        <w:rPr>
          <w:rFonts w:ascii="Arial" w:hAnsi="Arial" w:cs="Arial"/>
          <w:bCs/>
          <w:sz w:val="24"/>
          <w:szCs w:val="24"/>
        </w:rPr>
        <w:t xml:space="preserve"> transferred</w:t>
      </w:r>
      <w:r w:rsidR="004D76AB">
        <w:rPr>
          <w:rFonts w:ascii="Arial" w:hAnsi="Arial" w:cs="Arial"/>
          <w:bCs/>
          <w:sz w:val="24"/>
          <w:szCs w:val="24"/>
        </w:rPr>
        <w:t xml:space="preserve"> the </w:t>
      </w:r>
      <w:r w:rsidR="004D76AB" w:rsidRPr="002C5131">
        <w:rPr>
          <w:rFonts w:ascii="Arial" w:hAnsi="Arial" w:cs="Arial"/>
          <w:bCs/>
          <w:sz w:val="24"/>
          <w:szCs w:val="24"/>
        </w:rPr>
        <w:t xml:space="preserve">2016 CBR B </w:t>
      </w:r>
      <w:r w:rsidR="004D76AB">
        <w:rPr>
          <w:rFonts w:ascii="Arial" w:hAnsi="Arial" w:cs="Arial"/>
          <w:bCs/>
          <w:sz w:val="24"/>
          <w:szCs w:val="24"/>
        </w:rPr>
        <w:t>balance</w:t>
      </w:r>
      <w:r w:rsidR="005675D3">
        <w:rPr>
          <w:rFonts w:ascii="Arial" w:hAnsi="Arial" w:cs="Arial"/>
          <w:bCs/>
          <w:sz w:val="24"/>
          <w:szCs w:val="24"/>
        </w:rPr>
        <w:t xml:space="preserve"> to Account 1595 (2018) for disposition at a later </w:t>
      </w:r>
      <w:proofErr w:type="gramStart"/>
      <w:r w:rsidR="005675D3">
        <w:rPr>
          <w:rFonts w:ascii="Arial" w:hAnsi="Arial" w:cs="Arial"/>
          <w:bCs/>
          <w:sz w:val="24"/>
          <w:szCs w:val="24"/>
        </w:rPr>
        <w:t>time</w:t>
      </w:r>
      <w:r w:rsidR="005D3148">
        <w:rPr>
          <w:rFonts w:ascii="Arial" w:hAnsi="Arial" w:cs="Arial"/>
          <w:bCs/>
          <w:sz w:val="24"/>
          <w:szCs w:val="24"/>
        </w:rPr>
        <w:t xml:space="preserve">, </w:t>
      </w:r>
      <w:r w:rsidR="00001518">
        <w:rPr>
          <w:rFonts w:ascii="Arial" w:hAnsi="Arial" w:cs="Arial"/>
          <w:bCs/>
          <w:sz w:val="24"/>
          <w:szCs w:val="24"/>
        </w:rPr>
        <w:t>but</w:t>
      </w:r>
      <w:proofErr w:type="gramEnd"/>
      <w:r w:rsidR="005D3148">
        <w:rPr>
          <w:rFonts w:ascii="Arial" w:hAnsi="Arial" w:cs="Arial"/>
          <w:bCs/>
          <w:sz w:val="24"/>
          <w:szCs w:val="24"/>
        </w:rPr>
        <w:t xml:space="preserve"> has not disposed</w:t>
      </w:r>
      <w:r w:rsidR="004D76AB">
        <w:rPr>
          <w:rFonts w:ascii="Arial" w:hAnsi="Arial" w:cs="Arial"/>
          <w:bCs/>
          <w:sz w:val="24"/>
          <w:szCs w:val="24"/>
        </w:rPr>
        <w:t xml:space="preserve"> of this balance</w:t>
      </w:r>
      <w:r w:rsidR="005D3148">
        <w:rPr>
          <w:rFonts w:ascii="Arial" w:hAnsi="Arial" w:cs="Arial"/>
          <w:bCs/>
          <w:sz w:val="24"/>
          <w:szCs w:val="24"/>
        </w:rPr>
        <w:t>.</w:t>
      </w:r>
    </w:p>
    <w:p w14:paraId="6C7E69E3" w14:textId="68243636" w:rsidR="00412AA4" w:rsidRDefault="005D3148" w:rsidP="008E6045">
      <w:pPr>
        <w:rPr>
          <w:rFonts w:ascii="Arial" w:hAnsi="Arial" w:cs="Arial"/>
          <w:bCs/>
          <w:sz w:val="24"/>
          <w:szCs w:val="24"/>
        </w:rPr>
      </w:pPr>
      <w:r>
        <w:rPr>
          <w:rFonts w:ascii="Arial" w:hAnsi="Arial" w:cs="Arial"/>
          <w:bCs/>
          <w:sz w:val="24"/>
          <w:szCs w:val="24"/>
        </w:rPr>
        <w:t xml:space="preserve">London Hydro notes that it would not be appropriate to hold the 2016 CBR B variance, while disposing of the variances accumulating during subsequent years in 2017-2019 in this application. </w:t>
      </w:r>
      <w:r w:rsidR="00730ED2">
        <w:rPr>
          <w:rFonts w:ascii="Arial" w:hAnsi="Arial" w:cs="Arial"/>
          <w:bCs/>
          <w:sz w:val="24"/>
          <w:szCs w:val="24"/>
        </w:rPr>
        <w:t>Table 11 of the Application show</w:t>
      </w:r>
      <w:r w:rsidR="00001518">
        <w:rPr>
          <w:rFonts w:ascii="Arial" w:hAnsi="Arial" w:cs="Arial"/>
          <w:bCs/>
          <w:sz w:val="24"/>
          <w:szCs w:val="24"/>
        </w:rPr>
        <w:t>s</w:t>
      </w:r>
      <w:r w:rsidR="00730ED2">
        <w:rPr>
          <w:rFonts w:ascii="Arial" w:hAnsi="Arial" w:cs="Arial"/>
          <w:bCs/>
          <w:sz w:val="24"/>
          <w:szCs w:val="24"/>
        </w:rPr>
        <w:t xml:space="preserve"> that t</w:t>
      </w:r>
      <w:r w:rsidR="000F76CD" w:rsidRPr="000F76CD">
        <w:rPr>
          <w:rFonts w:ascii="Arial" w:hAnsi="Arial" w:cs="Arial"/>
          <w:bCs/>
          <w:sz w:val="24"/>
          <w:szCs w:val="24"/>
        </w:rPr>
        <w:t>he 2016 CBR B variance (credit of $138,</w:t>
      </w:r>
      <w:r w:rsidR="00687A88">
        <w:rPr>
          <w:rFonts w:ascii="Arial" w:hAnsi="Arial" w:cs="Arial"/>
          <w:bCs/>
          <w:sz w:val="24"/>
          <w:szCs w:val="24"/>
        </w:rPr>
        <w:t>800</w:t>
      </w:r>
      <w:r w:rsidR="000F76CD" w:rsidRPr="000F76CD">
        <w:rPr>
          <w:rFonts w:ascii="Arial" w:hAnsi="Arial" w:cs="Arial"/>
          <w:bCs/>
          <w:sz w:val="24"/>
          <w:szCs w:val="24"/>
        </w:rPr>
        <w:t>) when combined with the 2017-2019 CBR balance (credit of $305,99</w:t>
      </w:r>
      <w:r w:rsidR="00687A88">
        <w:rPr>
          <w:rFonts w:ascii="Arial" w:hAnsi="Arial" w:cs="Arial"/>
          <w:bCs/>
          <w:sz w:val="24"/>
          <w:szCs w:val="24"/>
        </w:rPr>
        <w:t>2</w:t>
      </w:r>
      <w:r w:rsidR="000F76CD" w:rsidRPr="000F76CD">
        <w:rPr>
          <w:rFonts w:ascii="Arial" w:hAnsi="Arial" w:cs="Arial"/>
          <w:bCs/>
          <w:sz w:val="24"/>
          <w:szCs w:val="24"/>
        </w:rPr>
        <w:t>) amounts to a total credit balance of $444,79</w:t>
      </w:r>
      <w:r w:rsidR="00687A88">
        <w:rPr>
          <w:rFonts w:ascii="Arial" w:hAnsi="Arial" w:cs="Arial"/>
          <w:bCs/>
          <w:sz w:val="24"/>
          <w:szCs w:val="24"/>
        </w:rPr>
        <w:t>2</w:t>
      </w:r>
      <w:r w:rsidR="000F76CD" w:rsidRPr="000F76CD">
        <w:rPr>
          <w:rFonts w:ascii="Arial" w:hAnsi="Arial" w:cs="Arial"/>
          <w:bCs/>
          <w:sz w:val="24"/>
          <w:szCs w:val="24"/>
        </w:rPr>
        <w:t xml:space="preserve"> for disposition. </w:t>
      </w:r>
    </w:p>
    <w:p w14:paraId="0982C0AB" w14:textId="646FA0DF" w:rsidR="003D3785" w:rsidRDefault="00730ED2" w:rsidP="008E6045">
      <w:pPr>
        <w:rPr>
          <w:rFonts w:ascii="Arial" w:hAnsi="Arial" w:cs="Arial"/>
          <w:bCs/>
          <w:sz w:val="24"/>
          <w:szCs w:val="24"/>
        </w:rPr>
      </w:pPr>
      <w:r>
        <w:rPr>
          <w:rFonts w:ascii="Arial" w:hAnsi="Arial" w:cs="Arial"/>
          <w:bCs/>
          <w:sz w:val="24"/>
          <w:szCs w:val="24"/>
        </w:rPr>
        <w:t xml:space="preserve">At the third reference, </w:t>
      </w:r>
      <w:r w:rsidR="000F76CD">
        <w:rPr>
          <w:rFonts w:ascii="Arial" w:hAnsi="Arial" w:cs="Arial"/>
          <w:bCs/>
          <w:sz w:val="24"/>
          <w:szCs w:val="24"/>
        </w:rPr>
        <w:t xml:space="preserve">London Hydro implemented this change </w:t>
      </w:r>
      <w:r>
        <w:rPr>
          <w:rFonts w:ascii="Arial" w:hAnsi="Arial" w:cs="Arial"/>
          <w:bCs/>
          <w:sz w:val="24"/>
          <w:szCs w:val="24"/>
        </w:rPr>
        <w:t xml:space="preserve">in Tab 3 of the Rate Generator Model, </w:t>
      </w:r>
      <w:r w:rsidR="000F76CD">
        <w:rPr>
          <w:rFonts w:ascii="Arial" w:hAnsi="Arial" w:cs="Arial"/>
          <w:bCs/>
          <w:sz w:val="24"/>
          <w:szCs w:val="24"/>
        </w:rPr>
        <w:t xml:space="preserve">by reversing </w:t>
      </w:r>
      <w:r w:rsidR="003D3785">
        <w:rPr>
          <w:rFonts w:ascii="Arial" w:hAnsi="Arial" w:cs="Arial"/>
          <w:bCs/>
          <w:sz w:val="24"/>
          <w:szCs w:val="24"/>
        </w:rPr>
        <w:t xml:space="preserve">the </w:t>
      </w:r>
      <w:r w:rsidR="00001518">
        <w:rPr>
          <w:rFonts w:ascii="Arial" w:hAnsi="Arial" w:cs="Arial"/>
          <w:bCs/>
          <w:sz w:val="24"/>
          <w:szCs w:val="24"/>
        </w:rPr>
        <w:t xml:space="preserve">2016 </w:t>
      </w:r>
      <w:r w:rsidR="003D3785">
        <w:rPr>
          <w:rFonts w:ascii="Arial" w:hAnsi="Arial" w:cs="Arial"/>
          <w:bCs/>
          <w:sz w:val="24"/>
          <w:szCs w:val="24"/>
        </w:rPr>
        <w:t xml:space="preserve">CBR B </w:t>
      </w:r>
      <w:r w:rsidR="00B13484">
        <w:rPr>
          <w:rFonts w:ascii="Arial" w:hAnsi="Arial" w:cs="Arial"/>
          <w:bCs/>
          <w:sz w:val="24"/>
          <w:szCs w:val="24"/>
        </w:rPr>
        <w:t>variance</w:t>
      </w:r>
      <w:r w:rsidR="003D3785">
        <w:rPr>
          <w:rFonts w:ascii="Arial" w:hAnsi="Arial" w:cs="Arial"/>
          <w:bCs/>
          <w:sz w:val="24"/>
          <w:szCs w:val="24"/>
        </w:rPr>
        <w:t xml:space="preserve"> </w:t>
      </w:r>
      <w:r w:rsidR="006C0D38">
        <w:rPr>
          <w:rFonts w:ascii="Arial" w:hAnsi="Arial" w:cs="Arial"/>
          <w:bCs/>
          <w:sz w:val="24"/>
          <w:szCs w:val="24"/>
        </w:rPr>
        <w:t xml:space="preserve">out </w:t>
      </w:r>
      <w:r w:rsidR="003D3785">
        <w:rPr>
          <w:rFonts w:ascii="Arial" w:hAnsi="Arial" w:cs="Arial"/>
          <w:bCs/>
          <w:sz w:val="24"/>
          <w:szCs w:val="24"/>
        </w:rPr>
        <w:t xml:space="preserve">from Account 1595 (2018) </w:t>
      </w:r>
      <w:r w:rsidR="00863FA1">
        <w:rPr>
          <w:rFonts w:ascii="Arial" w:hAnsi="Arial" w:cs="Arial"/>
          <w:bCs/>
          <w:sz w:val="24"/>
          <w:szCs w:val="24"/>
        </w:rPr>
        <w:lastRenderedPageBreak/>
        <w:t>as a principal adjustment</w:t>
      </w:r>
      <w:r w:rsidR="000F76CD">
        <w:rPr>
          <w:rFonts w:ascii="Arial" w:hAnsi="Arial" w:cs="Arial"/>
          <w:bCs/>
          <w:sz w:val="24"/>
          <w:szCs w:val="24"/>
        </w:rPr>
        <w:t xml:space="preserve"> in the 2018 continuity schedule</w:t>
      </w:r>
      <w:r>
        <w:rPr>
          <w:rFonts w:ascii="Arial" w:hAnsi="Arial" w:cs="Arial"/>
          <w:bCs/>
          <w:sz w:val="24"/>
          <w:szCs w:val="24"/>
        </w:rPr>
        <w:t>,</w:t>
      </w:r>
      <w:r w:rsidR="002512D1">
        <w:rPr>
          <w:rFonts w:ascii="Arial" w:hAnsi="Arial" w:cs="Arial"/>
          <w:bCs/>
          <w:sz w:val="24"/>
          <w:szCs w:val="24"/>
        </w:rPr>
        <w:t xml:space="preserve"> </w:t>
      </w:r>
      <w:r w:rsidR="000F76CD">
        <w:rPr>
          <w:rFonts w:ascii="Arial" w:hAnsi="Arial" w:cs="Arial"/>
          <w:bCs/>
          <w:sz w:val="24"/>
          <w:szCs w:val="24"/>
        </w:rPr>
        <w:t>and record</w:t>
      </w:r>
      <w:r w:rsidR="00001518">
        <w:rPr>
          <w:rFonts w:ascii="Arial" w:hAnsi="Arial" w:cs="Arial"/>
          <w:bCs/>
          <w:sz w:val="24"/>
          <w:szCs w:val="24"/>
        </w:rPr>
        <w:t xml:space="preserve">ed </w:t>
      </w:r>
      <w:r w:rsidR="000F76CD">
        <w:rPr>
          <w:rFonts w:ascii="Arial" w:hAnsi="Arial" w:cs="Arial"/>
          <w:bCs/>
          <w:sz w:val="24"/>
          <w:szCs w:val="24"/>
        </w:rPr>
        <w:t xml:space="preserve">the reverse balance </w:t>
      </w:r>
      <w:r w:rsidR="00B13484">
        <w:rPr>
          <w:rFonts w:ascii="Arial" w:hAnsi="Arial" w:cs="Arial"/>
          <w:bCs/>
          <w:sz w:val="24"/>
          <w:szCs w:val="24"/>
        </w:rPr>
        <w:t>to</w:t>
      </w:r>
      <w:r w:rsidR="000F76CD">
        <w:rPr>
          <w:rFonts w:ascii="Arial" w:hAnsi="Arial" w:cs="Arial"/>
          <w:bCs/>
          <w:sz w:val="24"/>
          <w:szCs w:val="24"/>
        </w:rPr>
        <w:t xml:space="preserve"> dispose of </w:t>
      </w:r>
      <w:r w:rsidR="0086540A">
        <w:rPr>
          <w:rFonts w:ascii="Arial" w:hAnsi="Arial" w:cs="Arial"/>
          <w:bCs/>
          <w:sz w:val="24"/>
          <w:szCs w:val="24"/>
        </w:rPr>
        <w:t>it</w:t>
      </w:r>
      <w:r w:rsidR="003D3785">
        <w:rPr>
          <w:rFonts w:ascii="Arial" w:hAnsi="Arial" w:cs="Arial"/>
          <w:bCs/>
          <w:sz w:val="24"/>
          <w:szCs w:val="24"/>
        </w:rPr>
        <w:t xml:space="preserve"> into Account 1580 CBR Class B. </w:t>
      </w:r>
    </w:p>
    <w:p w14:paraId="3016A71D" w14:textId="504096A6" w:rsidR="000F76CD" w:rsidRPr="000F76CD" w:rsidRDefault="000F76CD" w:rsidP="000F76CD">
      <w:pPr>
        <w:rPr>
          <w:rFonts w:ascii="Arial" w:hAnsi="Arial" w:cs="Arial"/>
          <w:bCs/>
          <w:sz w:val="24"/>
          <w:szCs w:val="24"/>
        </w:rPr>
      </w:pPr>
      <w:r w:rsidRPr="000F76CD">
        <w:rPr>
          <w:rFonts w:ascii="Arial" w:hAnsi="Arial" w:cs="Arial"/>
          <w:bCs/>
          <w:sz w:val="24"/>
          <w:szCs w:val="24"/>
        </w:rPr>
        <w:t>Tab 6.2a</w:t>
      </w:r>
      <w:r w:rsidR="002512D1">
        <w:rPr>
          <w:rFonts w:ascii="Arial" w:hAnsi="Arial" w:cs="Arial"/>
          <w:bCs/>
          <w:sz w:val="24"/>
          <w:szCs w:val="24"/>
        </w:rPr>
        <w:t xml:space="preserve"> of the Rate Generator Model </w:t>
      </w:r>
      <w:r w:rsidRPr="000F76CD">
        <w:rPr>
          <w:rFonts w:ascii="Arial" w:hAnsi="Arial" w:cs="Arial"/>
          <w:bCs/>
          <w:sz w:val="24"/>
          <w:szCs w:val="24"/>
        </w:rPr>
        <w:t>determined that 6.15% of the total CBR balance (credit of $444,79</w:t>
      </w:r>
      <w:r w:rsidR="00687A88">
        <w:rPr>
          <w:rFonts w:ascii="Arial" w:hAnsi="Arial" w:cs="Arial"/>
          <w:bCs/>
          <w:sz w:val="24"/>
          <w:szCs w:val="24"/>
        </w:rPr>
        <w:t>2</w:t>
      </w:r>
      <w:r w:rsidRPr="000F76CD">
        <w:rPr>
          <w:rFonts w:ascii="Arial" w:hAnsi="Arial" w:cs="Arial"/>
          <w:bCs/>
          <w:sz w:val="24"/>
          <w:szCs w:val="24"/>
        </w:rPr>
        <w:t xml:space="preserve">) would be allocated to 53 transition customers who contributed towards the 2017-2019 CBR balance, while the remaining 93.85% of the total CBR B balance would be allocated to </w:t>
      </w:r>
      <w:r w:rsidR="002512D1">
        <w:rPr>
          <w:rFonts w:ascii="Arial" w:hAnsi="Arial" w:cs="Arial"/>
          <w:bCs/>
          <w:sz w:val="24"/>
          <w:szCs w:val="24"/>
        </w:rPr>
        <w:t xml:space="preserve">full year </w:t>
      </w:r>
      <w:r w:rsidRPr="000F76CD">
        <w:rPr>
          <w:rFonts w:ascii="Arial" w:hAnsi="Arial" w:cs="Arial"/>
          <w:bCs/>
          <w:sz w:val="24"/>
          <w:szCs w:val="24"/>
        </w:rPr>
        <w:t xml:space="preserve">class B customers. </w:t>
      </w:r>
    </w:p>
    <w:p w14:paraId="2D2D1B8D" w14:textId="2A838FF7" w:rsidR="00A27941" w:rsidRDefault="00A27941" w:rsidP="008E6045">
      <w:pPr>
        <w:rPr>
          <w:rFonts w:ascii="Arial" w:hAnsi="Arial" w:cs="Arial"/>
          <w:bCs/>
          <w:sz w:val="24"/>
          <w:szCs w:val="24"/>
        </w:rPr>
      </w:pPr>
      <w:r>
        <w:rPr>
          <w:rFonts w:ascii="Arial" w:hAnsi="Arial" w:cs="Arial"/>
          <w:bCs/>
          <w:sz w:val="24"/>
          <w:szCs w:val="24"/>
        </w:rPr>
        <w:t>Question(s):</w:t>
      </w:r>
    </w:p>
    <w:p w14:paraId="071DBD8C" w14:textId="45EA947E" w:rsidR="00A27941" w:rsidRDefault="00B57230" w:rsidP="00001518">
      <w:pPr>
        <w:pStyle w:val="ListParagraph"/>
        <w:numPr>
          <w:ilvl w:val="0"/>
          <w:numId w:val="1"/>
        </w:numPr>
        <w:rPr>
          <w:rFonts w:ascii="Arial" w:hAnsi="Arial" w:cs="Arial"/>
          <w:bCs/>
          <w:sz w:val="24"/>
          <w:szCs w:val="24"/>
        </w:rPr>
      </w:pPr>
      <w:r w:rsidRPr="00032D84">
        <w:rPr>
          <w:rFonts w:ascii="Arial" w:hAnsi="Arial" w:cs="Arial"/>
          <w:bCs/>
          <w:sz w:val="24"/>
          <w:szCs w:val="24"/>
        </w:rPr>
        <w:t xml:space="preserve">Please </w:t>
      </w:r>
      <w:r w:rsidR="00A02BB4">
        <w:rPr>
          <w:rFonts w:ascii="Arial" w:hAnsi="Arial" w:cs="Arial"/>
          <w:bCs/>
          <w:sz w:val="24"/>
          <w:szCs w:val="24"/>
        </w:rPr>
        <w:t>explain</w:t>
      </w:r>
      <w:r w:rsidR="00FE534A" w:rsidRPr="00032D84">
        <w:rPr>
          <w:rFonts w:ascii="Arial" w:hAnsi="Arial" w:cs="Arial"/>
          <w:bCs/>
          <w:sz w:val="24"/>
          <w:szCs w:val="24"/>
        </w:rPr>
        <w:t xml:space="preserve"> </w:t>
      </w:r>
      <w:r w:rsidR="00952DF6">
        <w:rPr>
          <w:rFonts w:ascii="Arial" w:hAnsi="Arial" w:cs="Arial"/>
          <w:bCs/>
          <w:sz w:val="24"/>
          <w:szCs w:val="24"/>
        </w:rPr>
        <w:t xml:space="preserve">why </w:t>
      </w:r>
      <w:r w:rsidR="00FE534A" w:rsidRPr="00032D84">
        <w:rPr>
          <w:rFonts w:ascii="Arial" w:hAnsi="Arial" w:cs="Arial"/>
          <w:bCs/>
          <w:sz w:val="24"/>
          <w:szCs w:val="24"/>
        </w:rPr>
        <w:t xml:space="preserve">it </w:t>
      </w:r>
      <w:r w:rsidR="00594D02" w:rsidRPr="00032D84">
        <w:rPr>
          <w:rFonts w:ascii="Arial" w:hAnsi="Arial" w:cs="Arial"/>
          <w:bCs/>
          <w:sz w:val="24"/>
          <w:szCs w:val="24"/>
        </w:rPr>
        <w:t>is</w:t>
      </w:r>
      <w:r w:rsidR="00FE534A" w:rsidRPr="00032D84">
        <w:rPr>
          <w:rFonts w:ascii="Arial" w:hAnsi="Arial" w:cs="Arial"/>
          <w:bCs/>
          <w:sz w:val="24"/>
          <w:szCs w:val="24"/>
        </w:rPr>
        <w:t xml:space="preserve"> not appropriate to hold the 2016 CBR B variance</w:t>
      </w:r>
      <w:r w:rsidR="00CA0569" w:rsidRPr="00032D84">
        <w:rPr>
          <w:rFonts w:ascii="Arial" w:hAnsi="Arial" w:cs="Arial"/>
          <w:bCs/>
          <w:sz w:val="24"/>
          <w:szCs w:val="24"/>
        </w:rPr>
        <w:t xml:space="preserve"> </w:t>
      </w:r>
      <w:r w:rsidR="00BB0864" w:rsidRPr="00032D84">
        <w:rPr>
          <w:rFonts w:ascii="Arial" w:hAnsi="Arial" w:cs="Arial"/>
          <w:bCs/>
          <w:sz w:val="24"/>
          <w:szCs w:val="24"/>
        </w:rPr>
        <w:t>in</w:t>
      </w:r>
      <w:r w:rsidR="00CA0569" w:rsidRPr="00032D84">
        <w:rPr>
          <w:rFonts w:ascii="Arial" w:hAnsi="Arial" w:cs="Arial"/>
          <w:bCs/>
          <w:sz w:val="24"/>
          <w:szCs w:val="24"/>
        </w:rPr>
        <w:t xml:space="preserve"> Account 1595 (2018) </w:t>
      </w:r>
      <w:r w:rsidR="00BB0864" w:rsidRPr="00032D84">
        <w:rPr>
          <w:rFonts w:ascii="Arial" w:hAnsi="Arial" w:cs="Arial"/>
          <w:bCs/>
          <w:sz w:val="24"/>
          <w:szCs w:val="24"/>
        </w:rPr>
        <w:t xml:space="preserve">until </w:t>
      </w:r>
      <w:r w:rsidR="00CD45C1" w:rsidRPr="00032D84">
        <w:rPr>
          <w:rFonts w:ascii="Arial" w:hAnsi="Arial" w:cs="Arial"/>
          <w:bCs/>
          <w:sz w:val="24"/>
          <w:szCs w:val="24"/>
        </w:rPr>
        <w:t>th</w:t>
      </w:r>
      <w:r w:rsidR="00952DF6">
        <w:rPr>
          <w:rFonts w:ascii="Arial" w:hAnsi="Arial" w:cs="Arial"/>
          <w:bCs/>
          <w:sz w:val="24"/>
          <w:szCs w:val="24"/>
        </w:rPr>
        <w:t>is account</w:t>
      </w:r>
      <w:r w:rsidR="00CD45C1" w:rsidRPr="00032D84">
        <w:rPr>
          <w:rFonts w:ascii="Arial" w:hAnsi="Arial" w:cs="Arial"/>
          <w:bCs/>
          <w:sz w:val="24"/>
          <w:szCs w:val="24"/>
        </w:rPr>
        <w:t xml:space="preserve"> </w:t>
      </w:r>
      <w:r w:rsidR="00594D02" w:rsidRPr="00032D84">
        <w:rPr>
          <w:rFonts w:ascii="Arial" w:hAnsi="Arial" w:cs="Arial"/>
          <w:bCs/>
          <w:sz w:val="24"/>
          <w:szCs w:val="24"/>
        </w:rPr>
        <w:t>is</w:t>
      </w:r>
      <w:r w:rsidR="00CA0569" w:rsidRPr="00032D84">
        <w:rPr>
          <w:rFonts w:ascii="Arial" w:hAnsi="Arial" w:cs="Arial"/>
          <w:bCs/>
          <w:sz w:val="24"/>
          <w:szCs w:val="24"/>
        </w:rPr>
        <w:t xml:space="preserve"> eligible </w:t>
      </w:r>
      <w:r w:rsidR="00594D02" w:rsidRPr="00032D84">
        <w:rPr>
          <w:rFonts w:ascii="Arial" w:hAnsi="Arial" w:cs="Arial"/>
          <w:bCs/>
          <w:sz w:val="24"/>
          <w:szCs w:val="24"/>
        </w:rPr>
        <w:t>to be disposed</w:t>
      </w:r>
      <w:r w:rsidR="00CA0569" w:rsidRPr="00032D84">
        <w:rPr>
          <w:rFonts w:ascii="Arial" w:hAnsi="Arial" w:cs="Arial"/>
          <w:bCs/>
          <w:sz w:val="24"/>
          <w:szCs w:val="24"/>
        </w:rPr>
        <w:t xml:space="preserve"> </w:t>
      </w:r>
      <w:r w:rsidR="00952DF6">
        <w:rPr>
          <w:rFonts w:ascii="Arial" w:hAnsi="Arial" w:cs="Arial"/>
          <w:bCs/>
          <w:sz w:val="24"/>
          <w:szCs w:val="24"/>
        </w:rPr>
        <w:t xml:space="preserve">of </w:t>
      </w:r>
      <w:r w:rsidR="00CA0569" w:rsidRPr="00032D84">
        <w:rPr>
          <w:rFonts w:ascii="Arial" w:hAnsi="Arial" w:cs="Arial"/>
          <w:bCs/>
          <w:sz w:val="24"/>
          <w:szCs w:val="24"/>
        </w:rPr>
        <w:t>in the 2023 rate application</w:t>
      </w:r>
      <w:r w:rsidR="00B13484">
        <w:rPr>
          <w:rFonts w:ascii="Arial" w:hAnsi="Arial" w:cs="Arial"/>
          <w:bCs/>
          <w:sz w:val="24"/>
          <w:szCs w:val="24"/>
        </w:rPr>
        <w:t>.</w:t>
      </w:r>
      <w:r w:rsidR="00032D84" w:rsidRPr="00032D84">
        <w:rPr>
          <w:rFonts w:ascii="Arial" w:hAnsi="Arial" w:cs="Arial"/>
          <w:bCs/>
          <w:sz w:val="24"/>
          <w:szCs w:val="24"/>
        </w:rPr>
        <w:t xml:space="preserve"> </w:t>
      </w:r>
    </w:p>
    <w:p w14:paraId="3F9F8ECC" w14:textId="77777777" w:rsidR="000F76CD" w:rsidRDefault="000F76CD" w:rsidP="000F76CD">
      <w:pPr>
        <w:pStyle w:val="ListParagraph"/>
        <w:rPr>
          <w:rFonts w:ascii="Arial" w:hAnsi="Arial" w:cs="Arial"/>
          <w:bCs/>
          <w:sz w:val="24"/>
          <w:szCs w:val="24"/>
        </w:rPr>
      </w:pPr>
    </w:p>
    <w:p w14:paraId="5DCABA25" w14:textId="58E040C2" w:rsidR="00032D84" w:rsidRPr="00740277" w:rsidRDefault="000F76CD" w:rsidP="00001518">
      <w:pPr>
        <w:pStyle w:val="ListParagraph"/>
        <w:numPr>
          <w:ilvl w:val="0"/>
          <w:numId w:val="1"/>
        </w:numPr>
        <w:rPr>
          <w:rFonts w:ascii="Arial" w:hAnsi="Arial" w:cs="Arial"/>
          <w:bCs/>
          <w:sz w:val="24"/>
          <w:szCs w:val="24"/>
        </w:rPr>
      </w:pPr>
      <w:r w:rsidRPr="00740277">
        <w:rPr>
          <w:rFonts w:ascii="Arial" w:hAnsi="Arial" w:cs="Arial"/>
          <w:bCs/>
          <w:sz w:val="24"/>
          <w:szCs w:val="24"/>
        </w:rPr>
        <w:t>Please confirm that the 2016 CBR B variance (credit of $138,</w:t>
      </w:r>
      <w:r w:rsidR="00687A88">
        <w:rPr>
          <w:rFonts w:ascii="Arial" w:hAnsi="Arial" w:cs="Arial"/>
          <w:bCs/>
          <w:sz w:val="24"/>
          <w:szCs w:val="24"/>
        </w:rPr>
        <w:t>800</w:t>
      </w:r>
      <w:r w:rsidRPr="00740277">
        <w:rPr>
          <w:rFonts w:ascii="Arial" w:hAnsi="Arial" w:cs="Arial"/>
          <w:bCs/>
          <w:sz w:val="24"/>
          <w:szCs w:val="24"/>
        </w:rPr>
        <w:t xml:space="preserve">) </w:t>
      </w:r>
      <w:r w:rsidR="00001518">
        <w:rPr>
          <w:rFonts w:ascii="Arial" w:hAnsi="Arial" w:cs="Arial"/>
          <w:bCs/>
          <w:sz w:val="24"/>
          <w:szCs w:val="24"/>
        </w:rPr>
        <w:t>should</w:t>
      </w:r>
      <w:r w:rsidR="006C0D38" w:rsidRPr="00740277">
        <w:rPr>
          <w:rFonts w:ascii="Arial" w:hAnsi="Arial" w:cs="Arial"/>
          <w:bCs/>
          <w:sz w:val="24"/>
          <w:szCs w:val="24"/>
        </w:rPr>
        <w:t xml:space="preserve"> be allocated to</w:t>
      </w:r>
      <w:r w:rsidRPr="00740277">
        <w:rPr>
          <w:rFonts w:ascii="Arial" w:hAnsi="Arial" w:cs="Arial"/>
          <w:bCs/>
          <w:sz w:val="24"/>
          <w:szCs w:val="24"/>
        </w:rPr>
        <w:t xml:space="preserve"> full year class B customers in 2016. </w:t>
      </w:r>
      <w:r w:rsidR="006C0D38" w:rsidRPr="00740277">
        <w:rPr>
          <w:rFonts w:ascii="Arial" w:hAnsi="Arial" w:cs="Arial"/>
          <w:bCs/>
          <w:sz w:val="24"/>
          <w:szCs w:val="24"/>
        </w:rPr>
        <w:t>P</w:t>
      </w:r>
      <w:r w:rsidRPr="00740277">
        <w:rPr>
          <w:rFonts w:ascii="Arial" w:hAnsi="Arial" w:cs="Arial"/>
          <w:bCs/>
          <w:sz w:val="24"/>
          <w:szCs w:val="24"/>
        </w:rPr>
        <w:t>l</w:t>
      </w:r>
      <w:r w:rsidR="00032D84" w:rsidRPr="00740277">
        <w:rPr>
          <w:rFonts w:ascii="Arial" w:hAnsi="Arial" w:cs="Arial"/>
          <w:bCs/>
          <w:sz w:val="24"/>
          <w:szCs w:val="24"/>
        </w:rPr>
        <w:t xml:space="preserve">ease </w:t>
      </w:r>
      <w:r w:rsidR="00740277">
        <w:rPr>
          <w:rFonts w:ascii="Arial" w:hAnsi="Arial" w:cs="Arial"/>
          <w:bCs/>
          <w:sz w:val="24"/>
          <w:szCs w:val="24"/>
        </w:rPr>
        <w:t xml:space="preserve">also </w:t>
      </w:r>
      <w:r w:rsidRPr="00740277">
        <w:rPr>
          <w:rFonts w:ascii="Arial" w:hAnsi="Arial" w:cs="Arial"/>
          <w:bCs/>
          <w:sz w:val="24"/>
          <w:szCs w:val="24"/>
        </w:rPr>
        <w:t>clarify</w:t>
      </w:r>
      <w:r w:rsidR="00D7097F" w:rsidRPr="00740277">
        <w:rPr>
          <w:rFonts w:ascii="Arial" w:hAnsi="Arial" w:cs="Arial"/>
          <w:bCs/>
          <w:sz w:val="24"/>
          <w:szCs w:val="24"/>
        </w:rPr>
        <w:t xml:space="preserve"> whether any of the 53 transition customers </w:t>
      </w:r>
      <w:r w:rsidR="006C0D38" w:rsidRPr="00740277">
        <w:rPr>
          <w:rFonts w:ascii="Arial" w:hAnsi="Arial" w:cs="Arial"/>
          <w:bCs/>
          <w:sz w:val="24"/>
          <w:szCs w:val="24"/>
        </w:rPr>
        <w:t xml:space="preserve">(in Tab 6.2a of the Rate Generator Model) </w:t>
      </w:r>
      <w:r w:rsidR="00D7097F" w:rsidRPr="00740277">
        <w:rPr>
          <w:rFonts w:ascii="Arial" w:hAnsi="Arial" w:cs="Arial"/>
          <w:bCs/>
          <w:sz w:val="24"/>
          <w:szCs w:val="24"/>
        </w:rPr>
        <w:t xml:space="preserve">contributed to the 2016 CBR B variance. </w:t>
      </w:r>
    </w:p>
    <w:p w14:paraId="45540D29" w14:textId="77777777" w:rsidR="00032D84" w:rsidRPr="00032D84" w:rsidRDefault="00032D84" w:rsidP="00032D84">
      <w:pPr>
        <w:pStyle w:val="ListParagraph"/>
        <w:rPr>
          <w:rFonts w:ascii="Arial" w:hAnsi="Arial" w:cs="Arial"/>
          <w:bCs/>
          <w:sz w:val="24"/>
          <w:szCs w:val="24"/>
        </w:rPr>
      </w:pPr>
    </w:p>
    <w:p w14:paraId="7ADFD583" w14:textId="6B93F2B9" w:rsidR="00234A4B" w:rsidRPr="000F76CD" w:rsidRDefault="005D0838" w:rsidP="00001518">
      <w:pPr>
        <w:pStyle w:val="ListParagraph"/>
        <w:numPr>
          <w:ilvl w:val="0"/>
          <w:numId w:val="1"/>
        </w:numPr>
        <w:rPr>
          <w:rFonts w:ascii="Arial" w:hAnsi="Arial" w:cs="Arial"/>
          <w:bCs/>
          <w:sz w:val="24"/>
          <w:szCs w:val="24"/>
        </w:rPr>
      </w:pPr>
      <w:r w:rsidRPr="000F76CD">
        <w:rPr>
          <w:rFonts w:ascii="Arial" w:hAnsi="Arial" w:cs="Arial"/>
          <w:bCs/>
          <w:sz w:val="24"/>
          <w:szCs w:val="24"/>
        </w:rPr>
        <w:t xml:space="preserve">If London Hydro maintains its </w:t>
      </w:r>
      <w:r w:rsidR="00990298" w:rsidRPr="000F76CD">
        <w:rPr>
          <w:rFonts w:ascii="Arial" w:hAnsi="Arial" w:cs="Arial"/>
          <w:bCs/>
          <w:sz w:val="24"/>
          <w:szCs w:val="24"/>
        </w:rPr>
        <w:t>position</w:t>
      </w:r>
      <w:r w:rsidRPr="000F76CD">
        <w:rPr>
          <w:rFonts w:ascii="Arial" w:hAnsi="Arial" w:cs="Arial"/>
          <w:bCs/>
          <w:sz w:val="24"/>
          <w:szCs w:val="24"/>
        </w:rPr>
        <w:t xml:space="preserve"> </w:t>
      </w:r>
      <w:r w:rsidR="002416BF" w:rsidRPr="000F76CD">
        <w:rPr>
          <w:rFonts w:ascii="Arial" w:hAnsi="Arial" w:cs="Arial"/>
          <w:bCs/>
          <w:sz w:val="24"/>
          <w:szCs w:val="24"/>
        </w:rPr>
        <w:t>to</w:t>
      </w:r>
      <w:r w:rsidRPr="000F76CD">
        <w:rPr>
          <w:rFonts w:ascii="Arial" w:hAnsi="Arial" w:cs="Arial"/>
          <w:bCs/>
          <w:sz w:val="24"/>
          <w:szCs w:val="24"/>
        </w:rPr>
        <w:t xml:space="preserve"> dispos</w:t>
      </w:r>
      <w:r w:rsidR="002416BF" w:rsidRPr="000F76CD">
        <w:rPr>
          <w:rFonts w:ascii="Arial" w:hAnsi="Arial" w:cs="Arial"/>
          <w:bCs/>
          <w:sz w:val="24"/>
          <w:szCs w:val="24"/>
        </w:rPr>
        <w:t>e</w:t>
      </w:r>
      <w:r w:rsidRPr="000F76CD">
        <w:rPr>
          <w:rFonts w:ascii="Arial" w:hAnsi="Arial" w:cs="Arial"/>
          <w:bCs/>
          <w:sz w:val="24"/>
          <w:szCs w:val="24"/>
        </w:rPr>
        <w:t xml:space="preserve"> of the 2016 CBR </w:t>
      </w:r>
      <w:r w:rsidR="00001518">
        <w:rPr>
          <w:rFonts w:ascii="Arial" w:hAnsi="Arial" w:cs="Arial"/>
          <w:bCs/>
          <w:sz w:val="24"/>
          <w:szCs w:val="24"/>
        </w:rPr>
        <w:t xml:space="preserve">B </w:t>
      </w:r>
      <w:r w:rsidRPr="000F76CD">
        <w:rPr>
          <w:rFonts w:ascii="Arial" w:hAnsi="Arial" w:cs="Arial"/>
          <w:bCs/>
          <w:sz w:val="24"/>
          <w:szCs w:val="24"/>
        </w:rPr>
        <w:t xml:space="preserve">variance </w:t>
      </w:r>
      <w:r w:rsidR="00175E3C" w:rsidRPr="000F76CD">
        <w:rPr>
          <w:rFonts w:ascii="Arial" w:hAnsi="Arial" w:cs="Arial"/>
          <w:bCs/>
          <w:sz w:val="24"/>
          <w:szCs w:val="24"/>
        </w:rPr>
        <w:t xml:space="preserve">with the 2017-2019 CBR balance </w:t>
      </w:r>
      <w:r w:rsidRPr="000F76CD">
        <w:rPr>
          <w:rFonts w:ascii="Arial" w:hAnsi="Arial" w:cs="Arial"/>
          <w:bCs/>
          <w:sz w:val="24"/>
          <w:szCs w:val="24"/>
        </w:rPr>
        <w:t>in this application,</w:t>
      </w:r>
      <w:r w:rsidR="00594D02" w:rsidRPr="000F76CD">
        <w:rPr>
          <w:rFonts w:ascii="Arial" w:hAnsi="Arial" w:cs="Arial"/>
          <w:bCs/>
          <w:sz w:val="24"/>
          <w:szCs w:val="24"/>
        </w:rPr>
        <w:t xml:space="preserve"> p</w:t>
      </w:r>
      <w:r w:rsidR="00CA0569" w:rsidRPr="000F76CD">
        <w:rPr>
          <w:rFonts w:ascii="Arial" w:hAnsi="Arial" w:cs="Arial"/>
          <w:bCs/>
          <w:sz w:val="24"/>
          <w:szCs w:val="24"/>
        </w:rPr>
        <w:t xml:space="preserve">lease </w:t>
      </w:r>
      <w:r w:rsidR="00234A4B" w:rsidRPr="000F76CD">
        <w:rPr>
          <w:rFonts w:ascii="Arial" w:hAnsi="Arial" w:cs="Arial"/>
          <w:bCs/>
          <w:sz w:val="24"/>
          <w:szCs w:val="24"/>
        </w:rPr>
        <w:t xml:space="preserve">discuss </w:t>
      </w:r>
      <w:r w:rsidR="006C0D38">
        <w:rPr>
          <w:rFonts w:ascii="Arial" w:hAnsi="Arial" w:cs="Arial"/>
          <w:bCs/>
          <w:sz w:val="24"/>
          <w:szCs w:val="24"/>
        </w:rPr>
        <w:t>the utility’s views o</w:t>
      </w:r>
      <w:r w:rsidR="005F621A">
        <w:rPr>
          <w:rFonts w:ascii="Arial" w:hAnsi="Arial" w:cs="Arial"/>
          <w:bCs/>
          <w:sz w:val="24"/>
          <w:szCs w:val="24"/>
        </w:rPr>
        <w:t>f</w:t>
      </w:r>
      <w:r w:rsidR="006C0D38">
        <w:rPr>
          <w:rFonts w:ascii="Arial" w:hAnsi="Arial" w:cs="Arial"/>
          <w:bCs/>
          <w:sz w:val="24"/>
          <w:szCs w:val="24"/>
        </w:rPr>
        <w:t xml:space="preserve"> </w:t>
      </w:r>
      <w:r w:rsidR="00952DF6">
        <w:rPr>
          <w:rFonts w:ascii="Arial" w:hAnsi="Arial" w:cs="Arial"/>
          <w:bCs/>
          <w:sz w:val="24"/>
          <w:szCs w:val="24"/>
        </w:rPr>
        <w:t>dispos</w:t>
      </w:r>
      <w:r w:rsidR="006C0D38">
        <w:rPr>
          <w:rFonts w:ascii="Arial" w:hAnsi="Arial" w:cs="Arial"/>
          <w:bCs/>
          <w:sz w:val="24"/>
          <w:szCs w:val="24"/>
        </w:rPr>
        <w:t>ing</w:t>
      </w:r>
      <w:r w:rsidR="00952DF6">
        <w:rPr>
          <w:rFonts w:ascii="Arial" w:hAnsi="Arial" w:cs="Arial"/>
          <w:bCs/>
          <w:sz w:val="24"/>
          <w:szCs w:val="24"/>
        </w:rPr>
        <w:t xml:space="preserve"> </w:t>
      </w:r>
      <w:r w:rsidR="000D25A0" w:rsidRPr="000F76CD">
        <w:rPr>
          <w:rFonts w:ascii="Arial" w:hAnsi="Arial" w:cs="Arial"/>
          <w:bCs/>
          <w:sz w:val="24"/>
          <w:szCs w:val="24"/>
        </w:rPr>
        <w:t>the entire 2016 CBR variance to class B customers</w:t>
      </w:r>
      <w:r w:rsidR="00234A4B" w:rsidRPr="000F76CD">
        <w:rPr>
          <w:rFonts w:ascii="Arial" w:hAnsi="Arial" w:cs="Arial"/>
          <w:bCs/>
          <w:sz w:val="24"/>
          <w:szCs w:val="24"/>
        </w:rPr>
        <w:t xml:space="preserve"> separately through </w:t>
      </w:r>
      <w:r w:rsidR="00001518">
        <w:rPr>
          <w:rFonts w:ascii="Arial" w:hAnsi="Arial" w:cs="Arial"/>
          <w:bCs/>
          <w:sz w:val="24"/>
          <w:szCs w:val="24"/>
        </w:rPr>
        <w:t xml:space="preserve">the </w:t>
      </w:r>
      <w:r w:rsidR="00234A4B" w:rsidRPr="000F76CD">
        <w:rPr>
          <w:rFonts w:ascii="Arial" w:hAnsi="Arial" w:cs="Arial"/>
          <w:bCs/>
          <w:sz w:val="24"/>
          <w:szCs w:val="24"/>
        </w:rPr>
        <w:t>DVA riders in Tab 6.2b</w:t>
      </w:r>
      <w:r w:rsidR="00952DF6">
        <w:rPr>
          <w:rFonts w:ascii="Arial" w:hAnsi="Arial" w:cs="Arial"/>
          <w:bCs/>
          <w:sz w:val="24"/>
          <w:szCs w:val="24"/>
        </w:rPr>
        <w:t>.</w:t>
      </w:r>
      <w:r w:rsidR="002416BF" w:rsidRPr="000F76CD">
        <w:rPr>
          <w:rFonts w:ascii="Arial" w:hAnsi="Arial" w:cs="Arial"/>
          <w:bCs/>
          <w:sz w:val="24"/>
          <w:szCs w:val="24"/>
        </w:rPr>
        <w:t xml:space="preserve"> </w:t>
      </w:r>
    </w:p>
    <w:p w14:paraId="3F0E2411" w14:textId="77777777" w:rsidR="00234A4B" w:rsidRDefault="00234A4B" w:rsidP="00234A4B">
      <w:pPr>
        <w:pStyle w:val="ListParagraph"/>
        <w:ind w:left="1440"/>
        <w:rPr>
          <w:rFonts w:ascii="Arial" w:hAnsi="Arial" w:cs="Arial"/>
          <w:bCs/>
          <w:sz w:val="24"/>
          <w:szCs w:val="24"/>
        </w:rPr>
      </w:pPr>
    </w:p>
    <w:p w14:paraId="0BF06B21" w14:textId="2E21463E" w:rsidR="00A27941" w:rsidRPr="000F76CD" w:rsidRDefault="00E00EEF" w:rsidP="00001518">
      <w:pPr>
        <w:pStyle w:val="ListParagraph"/>
        <w:numPr>
          <w:ilvl w:val="0"/>
          <w:numId w:val="1"/>
        </w:numPr>
        <w:rPr>
          <w:rFonts w:ascii="Arial" w:hAnsi="Arial" w:cs="Arial"/>
          <w:bCs/>
          <w:sz w:val="24"/>
          <w:szCs w:val="24"/>
        </w:rPr>
      </w:pPr>
      <w:r w:rsidRPr="000F76CD">
        <w:rPr>
          <w:rFonts w:ascii="Arial" w:hAnsi="Arial" w:cs="Arial"/>
          <w:bCs/>
          <w:sz w:val="24"/>
          <w:szCs w:val="24"/>
        </w:rPr>
        <w:t xml:space="preserve">Please </w:t>
      </w:r>
      <w:r w:rsidR="000F76CD">
        <w:rPr>
          <w:rFonts w:ascii="Arial" w:hAnsi="Arial" w:cs="Arial"/>
          <w:bCs/>
          <w:sz w:val="24"/>
          <w:szCs w:val="24"/>
        </w:rPr>
        <w:t xml:space="preserve">review </w:t>
      </w:r>
      <w:r w:rsidRPr="000F76CD">
        <w:rPr>
          <w:rFonts w:ascii="Arial" w:hAnsi="Arial" w:cs="Arial"/>
          <w:bCs/>
          <w:sz w:val="24"/>
          <w:szCs w:val="24"/>
        </w:rPr>
        <w:t>Tab</w:t>
      </w:r>
      <w:r w:rsidR="000F76CD">
        <w:rPr>
          <w:rFonts w:ascii="Arial" w:hAnsi="Arial" w:cs="Arial"/>
          <w:bCs/>
          <w:sz w:val="24"/>
          <w:szCs w:val="24"/>
        </w:rPr>
        <w:t>s</w:t>
      </w:r>
      <w:r w:rsidRPr="000F76CD">
        <w:rPr>
          <w:rFonts w:ascii="Arial" w:hAnsi="Arial" w:cs="Arial"/>
          <w:bCs/>
          <w:sz w:val="24"/>
          <w:szCs w:val="24"/>
        </w:rPr>
        <w:t xml:space="preserve"> 6.2a/b</w:t>
      </w:r>
      <w:r w:rsidR="001972A6" w:rsidRPr="000F76CD">
        <w:rPr>
          <w:rFonts w:ascii="Arial" w:hAnsi="Arial" w:cs="Arial"/>
          <w:bCs/>
          <w:sz w:val="24"/>
          <w:szCs w:val="24"/>
        </w:rPr>
        <w:t xml:space="preserve"> </w:t>
      </w:r>
      <w:r w:rsidR="000F76CD">
        <w:rPr>
          <w:rFonts w:ascii="Arial" w:hAnsi="Arial" w:cs="Arial"/>
          <w:bCs/>
          <w:sz w:val="24"/>
          <w:szCs w:val="24"/>
        </w:rPr>
        <w:t xml:space="preserve">of the Rate Generator Model </w:t>
      </w:r>
      <w:r w:rsidR="006C0D38">
        <w:rPr>
          <w:rFonts w:ascii="Arial" w:hAnsi="Arial" w:cs="Arial"/>
          <w:bCs/>
          <w:sz w:val="24"/>
          <w:szCs w:val="24"/>
        </w:rPr>
        <w:t>and confirm</w:t>
      </w:r>
      <w:r w:rsidR="00952DF6">
        <w:rPr>
          <w:rFonts w:ascii="Arial" w:hAnsi="Arial" w:cs="Arial"/>
          <w:bCs/>
          <w:sz w:val="24"/>
          <w:szCs w:val="24"/>
        </w:rPr>
        <w:t xml:space="preserve"> whether </w:t>
      </w:r>
      <w:r w:rsidR="00045B6C">
        <w:rPr>
          <w:rFonts w:ascii="Arial" w:hAnsi="Arial" w:cs="Arial"/>
          <w:bCs/>
          <w:sz w:val="24"/>
          <w:szCs w:val="24"/>
        </w:rPr>
        <w:t xml:space="preserve">the utility determines that </w:t>
      </w:r>
      <w:r w:rsidR="006C0D38">
        <w:rPr>
          <w:rFonts w:ascii="Arial" w:hAnsi="Arial" w:cs="Arial"/>
          <w:bCs/>
          <w:sz w:val="24"/>
          <w:szCs w:val="24"/>
        </w:rPr>
        <w:t xml:space="preserve">it is appropriate to adjust </w:t>
      </w:r>
      <w:r w:rsidR="00952DF6">
        <w:rPr>
          <w:rFonts w:ascii="Arial" w:hAnsi="Arial" w:cs="Arial"/>
          <w:bCs/>
          <w:sz w:val="24"/>
          <w:szCs w:val="24"/>
        </w:rPr>
        <w:t>t</w:t>
      </w:r>
      <w:r w:rsidR="00952DF6" w:rsidRPr="000F76CD">
        <w:rPr>
          <w:rFonts w:ascii="Arial" w:hAnsi="Arial" w:cs="Arial"/>
          <w:bCs/>
          <w:sz w:val="24"/>
          <w:szCs w:val="24"/>
        </w:rPr>
        <w:t>he total credit balance of $444,79</w:t>
      </w:r>
      <w:r w:rsidR="00687A88">
        <w:rPr>
          <w:rFonts w:ascii="Arial" w:hAnsi="Arial" w:cs="Arial"/>
          <w:bCs/>
          <w:sz w:val="24"/>
          <w:szCs w:val="24"/>
        </w:rPr>
        <w:t>2</w:t>
      </w:r>
      <w:r w:rsidR="00952DF6" w:rsidRPr="000F76CD">
        <w:rPr>
          <w:rFonts w:ascii="Arial" w:hAnsi="Arial" w:cs="Arial"/>
          <w:bCs/>
          <w:sz w:val="24"/>
          <w:szCs w:val="24"/>
        </w:rPr>
        <w:t xml:space="preserve"> in Tab 6.1a</w:t>
      </w:r>
      <w:r w:rsidR="00952DF6">
        <w:rPr>
          <w:rFonts w:ascii="Arial" w:hAnsi="Arial" w:cs="Arial"/>
          <w:bCs/>
          <w:sz w:val="24"/>
          <w:szCs w:val="24"/>
        </w:rPr>
        <w:t xml:space="preserve"> </w:t>
      </w:r>
      <w:r w:rsidR="006C0D38">
        <w:rPr>
          <w:rFonts w:ascii="Arial" w:hAnsi="Arial" w:cs="Arial"/>
          <w:bCs/>
          <w:sz w:val="24"/>
          <w:szCs w:val="24"/>
        </w:rPr>
        <w:t>to</w:t>
      </w:r>
      <w:r w:rsidR="00952DF6" w:rsidRPr="000F76CD">
        <w:rPr>
          <w:rFonts w:ascii="Arial" w:hAnsi="Arial" w:cs="Arial"/>
          <w:bCs/>
          <w:sz w:val="24"/>
          <w:szCs w:val="24"/>
        </w:rPr>
        <w:t xml:space="preserve"> exclude the 2016 CBR B variance</w:t>
      </w:r>
      <w:r w:rsidR="006C0D38">
        <w:rPr>
          <w:rFonts w:ascii="Arial" w:hAnsi="Arial" w:cs="Arial"/>
          <w:bCs/>
          <w:sz w:val="24"/>
          <w:szCs w:val="24"/>
        </w:rPr>
        <w:t xml:space="preserve"> amount</w:t>
      </w:r>
      <w:r w:rsidR="00952DF6" w:rsidRPr="000F76CD">
        <w:rPr>
          <w:rFonts w:ascii="Arial" w:hAnsi="Arial" w:cs="Arial"/>
          <w:bCs/>
          <w:sz w:val="24"/>
          <w:szCs w:val="24"/>
        </w:rPr>
        <w:t>.</w:t>
      </w:r>
      <w:r w:rsidR="000D25A0" w:rsidRPr="000F76CD">
        <w:rPr>
          <w:rFonts w:ascii="Arial" w:hAnsi="Arial" w:cs="Arial"/>
          <w:bCs/>
          <w:sz w:val="24"/>
          <w:szCs w:val="24"/>
        </w:rPr>
        <w:t xml:space="preserve"> </w:t>
      </w:r>
      <w:r w:rsidR="006C0D38">
        <w:rPr>
          <w:rFonts w:ascii="Arial" w:hAnsi="Arial" w:cs="Arial"/>
          <w:bCs/>
          <w:sz w:val="24"/>
          <w:szCs w:val="24"/>
        </w:rPr>
        <w:t>If so, p</w:t>
      </w:r>
      <w:r w:rsidR="000F76CD">
        <w:rPr>
          <w:rFonts w:ascii="Arial" w:hAnsi="Arial" w:cs="Arial"/>
          <w:bCs/>
          <w:sz w:val="24"/>
          <w:szCs w:val="24"/>
        </w:rPr>
        <w:t xml:space="preserve">lease </w:t>
      </w:r>
      <w:r w:rsidR="000F76CD" w:rsidRPr="000F76CD">
        <w:rPr>
          <w:rFonts w:ascii="Arial" w:hAnsi="Arial" w:cs="Arial"/>
          <w:bCs/>
          <w:sz w:val="24"/>
          <w:szCs w:val="24"/>
        </w:rPr>
        <w:t xml:space="preserve">provide </w:t>
      </w:r>
      <w:r w:rsidR="006C0D38">
        <w:rPr>
          <w:rFonts w:ascii="Arial" w:hAnsi="Arial" w:cs="Arial"/>
          <w:bCs/>
          <w:sz w:val="24"/>
          <w:szCs w:val="24"/>
        </w:rPr>
        <w:t xml:space="preserve">the </w:t>
      </w:r>
      <w:r w:rsidR="000F76CD" w:rsidRPr="000F76CD">
        <w:rPr>
          <w:rFonts w:ascii="Arial" w:hAnsi="Arial" w:cs="Arial"/>
          <w:bCs/>
          <w:sz w:val="24"/>
          <w:szCs w:val="24"/>
        </w:rPr>
        <w:t>calculations and applicable adjustment(s)</w:t>
      </w:r>
      <w:r w:rsidR="006C0D38">
        <w:rPr>
          <w:rFonts w:ascii="Arial" w:hAnsi="Arial" w:cs="Arial"/>
          <w:bCs/>
          <w:sz w:val="24"/>
          <w:szCs w:val="24"/>
        </w:rPr>
        <w:t xml:space="preserve"> to ensure that</w:t>
      </w:r>
      <w:r w:rsidR="00952DF6" w:rsidRPr="000F76CD">
        <w:rPr>
          <w:rFonts w:ascii="Arial" w:hAnsi="Arial" w:cs="Arial"/>
          <w:bCs/>
          <w:sz w:val="24"/>
          <w:szCs w:val="24"/>
        </w:rPr>
        <w:t xml:space="preserve"> the 53 transition customers are allocated </w:t>
      </w:r>
      <w:r w:rsidR="00E15A73">
        <w:rPr>
          <w:rFonts w:ascii="Arial" w:hAnsi="Arial" w:cs="Arial"/>
          <w:bCs/>
          <w:sz w:val="24"/>
          <w:szCs w:val="24"/>
        </w:rPr>
        <w:t xml:space="preserve">CBR </w:t>
      </w:r>
      <w:r w:rsidR="00952DF6" w:rsidRPr="000F76CD">
        <w:rPr>
          <w:rFonts w:ascii="Arial" w:hAnsi="Arial" w:cs="Arial"/>
          <w:bCs/>
          <w:sz w:val="24"/>
          <w:szCs w:val="24"/>
        </w:rPr>
        <w:t>payment amounts that reflect their contribution towards the 2017-2019 CBR B balances.</w:t>
      </w:r>
    </w:p>
    <w:p w14:paraId="38183A06" w14:textId="72264DFC" w:rsidR="00A27941" w:rsidRDefault="00A27941" w:rsidP="008E6045">
      <w:pPr>
        <w:rPr>
          <w:rFonts w:ascii="Arial" w:hAnsi="Arial" w:cs="Arial"/>
          <w:bCs/>
          <w:sz w:val="24"/>
          <w:szCs w:val="24"/>
        </w:rPr>
      </w:pPr>
    </w:p>
    <w:p w14:paraId="1FD1C3AA" w14:textId="6B472818" w:rsidR="003B6561" w:rsidRDefault="003B6561" w:rsidP="00471CBA">
      <w:pPr>
        <w:pStyle w:val="Heading2"/>
      </w:pPr>
      <w:r>
        <w:t>Staff Question-</w:t>
      </w:r>
      <w:r w:rsidR="006F28BF">
        <w:t>3</w:t>
      </w:r>
    </w:p>
    <w:p w14:paraId="428ABFD2" w14:textId="1AC97DD6" w:rsidR="003B6561" w:rsidRPr="00A24979" w:rsidRDefault="00E76172" w:rsidP="00A24979">
      <w:pPr>
        <w:pStyle w:val="NoSpacing"/>
        <w:rPr>
          <w:rFonts w:ascii="Arial" w:hAnsi="Arial" w:cs="Arial"/>
          <w:sz w:val="24"/>
          <w:szCs w:val="24"/>
        </w:rPr>
      </w:pPr>
      <w:r w:rsidRPr="00A24979">
        <w:rPr>
          <w:rFonts w:ascii="Arial" w:hAnsi="Arial" w:cs="Arial"/>
          <w:sz w:val="24"/>
          <w:szCs w:val="24"/>
        </w:rPr>
        <w:t>Ref:</w:t>
      </w:r>
      <w:r w:rsidRPr="00A24979">
        <w:rPr>
          <w:rFonts w:ascii="Arial" w:hAnsi="Arial" w:cs="Arial"/>
          <w:sz w:val="24"/>
          <w:szCs w:val="24"/>
        </w:rPr>
        <w:tab/>
      </w:r>
      <w:r w:rsidR="00A24979" w:rsidRPr="00A24979">
        <w:rPr>
          <w:rFonts w:ascii="Arial" w:hAnsi="Arial" w:cs="Arial"/>
          <w:sz w:val="24"/>
          <w:szCs w:val="24"/>
        </w:rPr>
        <w:t xml:space="preserve">(1) </w:t>
      </w:r>
      <w:r w:rsidR="00071D79" w:rsidRPr="00A24979">
        <w:rPr>
          <w:rFonts w:ascii="Arial" w:hAnsi="Arial" w:cs="Arial"/>
          <w:sz w:val="24"/>
          <w:szCs w:val="24"/>
        </w:rPr>
        <w:t xml:space="preserve">EB-2018-0051, </w:t>
      </w:r>
      <w:r w:rsidR="00594D02">
        <w:rPr>
          <w:rFonts w:ascii="Arial" w:hAnsi="Arial" w:cs="Arial"/>
          <w:sz w:val="24"/>
          <w:szCs w:val="24"/>
        </w:rPr>
        <w:t>Decision and Rate Order,</w:t>
      </w:r>
      <w:r w:rsidR="00071D79" w:rsidRPr="00A24979">
        <w:rPr>
          <w:rFonts w:ascii="Arial" w:hAnsi="Arial" w:cs="Arial"/>
          <w:sz w:val="24"/>
          <w:szCs w:val="24"/>
        </w:rPr>
        <w:t xml:space="preserve"> page 9</w:t>
      </w:r>
    </w:p>
    <w:p w14:paraId="03C86823" w14:textId="57868A38" w:rsidR="004572BD" w:rsidRDefault="00A24979" w:rsidP="00A24979">
      <w:pPr>
        <w:pStyle w:val="NoSpacing"/>
        <w:ind w:left="1080" w:hanging="360"/>
        <w:rPr>
          <w:rFonts w:ascii="Arial" w:hAnsi="Arial" w:cs="Arial"/>
          <w:sz w:val="24"/>
          <w:szCs w:val="24"/>
        </w:rPr>
      </w:pPr>
      <w:r w:rsidRPr="00A24979">
        <w:rPr>
          <w:rFonts w:ascii="Arial" w:hAnsi="Arial" w:cs="Arial"/>
          <w:sz w:val="24"/>
          <w:szCs w:val="24"/>
        </w:rPr>
        <w:t>(2) Rate Generator Model</w:t>
      </w:r>
      <w:r w:rsidR="00EC6B01">
        <w:rPr>
          <w:rFonts w:ascii="Arial" w:hAnsi="Arial" w:cs="Arial"/>
          <w:sz w:val="24"/>
          <w:szCs w:val="24"/>
        </w:rPr>
        <w:t>,</w:t>
      </w:r>
      <w:r w:rsidR="00EC6B01" w:rsidRPr="00EC6B01">
        <w:rPr>
          <w:rFonts w:ascii="Arial" w:hAnsi="Arial" w:cs="Arial"/>
          <w:sz w:val="24"/>
          <w:szCs w:val="24"/>
        </w:rPr>
        <w:t xml:space="preserve"> </w:t>
      </w:r>
      <w:r w:rsidR="00EC6B01" w:rsidRPr="00F335A1">
        <w:rPr>
          <w:rFonts w:ascii="Arial" w:hAnsi="Arial" w:cs="Arial"/>
          <w:sz w:val="24"/>
          <w:szCs w:val="24"/>
        </w:rPr>
        <w:t xml:space="preserve">dated Jan </w:t>
      </w:r>
      <w:proofErr w:type="gramStart"/>
      <w:r w:rsidR="00EC6B01" w:rsidRPr="00F335A1">
        <w:rPr>
          <w:rFonts w:ascii="Arial" w:hAnsi="Arial" w:cs="Arial"/>
          <w:sz w:val="24"/>
          <w:szCs w:val="24"/>
        </w:rPr>
        <w:t>2</w:t>
      </w:r>
      <w:r w:rsidR="00644305">
        <w:rPr>
          <w:rFonts w:ascii="Arial" w:hAnsi="Arial" w:cs="Arial"/>
          <w:sz w:val="24"/>
          <w:szCs w:val="24"/>
        </w:rPr>
        <w:t>5</w:t>
      </w:r>
      <w:proofErr w:type="gramEnd"/>
      <w:r w:rsidR="00EC6B01" w:rsidRPr="00F335A1">
        <w:rPr>
          <w:rFonts w:ascii="Arial" w:hAnsi="Arial" w:cs="Arial"/>
          <w:sz w:val="24"/>
          <w:szCs w:val="24"/>
        </w:rPr>
        <w:t xml:space="preserve"> 2021</w:t>
      </w:r>
      <w:r w:rsidR="004572BD">
        <w:rPr>
          <w:rFonts w:ascii="Arial" w:hAnsi="Arial" w:cs="Arial"/>
          <w:sz w:val="24"/>
          <w:szCs w:val="24"/>
        </w:rPr>
        <w:t xml:space="preserve"> –</w:t>
      </w:r>
      <w:r w:rsidRPr="00A24979">
        <w:rPr>
          <w:rFonts w:ascii="Arial" w:hAnsi="Arial" w:cs="Arial"/>
          <w:sz w:val="24"/>
          <w:szCs w:val="24"/>
        </w:rPr>
        <w:t xml:space="preserve"> Tab 3 (</w:t>
      </w:r>
      <w:r w:rsidR="00406D05" w:rsidRPr="00A24979">
        <w:rPr>
          <w:rFonts w:ascii="Arial" w:hAnsi="Arial" w:cs="Arial"/>
          <w:sz w:val="24"/>
          <w:szCs w:val="24"/>
        </w:rPr>
        <w:t>2019</w:t>
      </w:r>
      <w:r w:rsidR="00406D05">
        <w:rPr>
          <w:rFonts w:ascii="Arial" w:hAnsi="Arial" w:cs="Arial"/>
          <w:sz w:val="24"/>
          <w:szCs w:val="24"/>
        </w:rPr>
        <w:t xml:space="preserve"> </w:t>
      </w:r>
      <w:r w:rsidRPr="00A24979">
        <w:rPr>
          <w:rFonts w:ascii="Arial" w:hAnsi="Arial" w:cs="Arial"/>
          <w:sz w:val="24"/>
          <w:szCs w:val="24"/>
        </w:rPr>
        <w:t xml:space="preserve">principal adjustment to Account 1584 and </w:t>
      </w:r>
      <w:r w:rsidR="00F46C08">
        <w:rPr>
          <w:rFonts w:ascii="Arial" w:hAnsi="Arial" w:cs="Arial"/>
          <w:sz w:val="24"/>
          <w:szCs w:val="24"/>
        </w:rPr>
        <w:t xml:space="preserve">Account </w:t>
      </w:r>
      <w:r w:rsidRPr="00A24979">
        <w:rPr>
          <w:rFonts w:ascii="Arial" w:hAnsi="Arial" w:cs="Arial"/>
          <w:sz w:val="24"/>
          <w:szCs w:val="24"/>
        </w:rPr>
        <w:t>1586 balances)</w:t>
      </w:r>
    </w:p>
    <w:p w14:paraId="1973A394" w14:textId="77777777" w:rsidR="00A24979" w:rsidRPr="00A24979" w:rsidRDefault="00A24979" w:rsidP="00A24979">
      <w:pPr>
        <w:pStyle w:val="NoSpacing"/>
        <w:rPr>
          <w:rFonts w:ascii="Arial" w:hAnsi="Arial" w:cs="Arial"/>
          <w:sz w:val="24"/>
          <w:szCs w:val="24"/>
        </w:rPr>
      </w:pPr>
    </w:p>
    <w:p w14:paraId="21B447E3" w14:textId="1B2FF26B" w:rsidR="00071D79" w:rsidRPr="00A24979" w:rsidRDefault="00071D79" w:rsidP="00A24979">
      <w:pPr>
        <w:rPr>
          <w:rFonts w:ascii="Arial" w:hAnsi="Arial" w:cs="Arial"/>
          <w:bCs/>
          <w:sz w:val="24"/>
          <w:szCs w:val="24"/>
        </w:rPr>
      </w:pPr>
      <w:r w:rsidRPr="00A24979">
        <w:rPr>
          <w:rFonts w:ascii="Arial" w:hAnsi="Arial" w:cs="Arial"/>
          <w:bCs/>
          <w:sz w:val="24"/>
          <w:szCs w:val="24"/>
        </w:rPr>
        <w:t>Preamble:</w:t>
      </w:r>
    </w:p>
    <w:p w14:paraId="21187517" w14:textId="57D5FFE6" w:rsidR="00532129" w:rsidRDefault="00594D02" w:rsidP="00406D05">
      <w:pPr>
        <w:rPr>
          <w:rFonts w:ascii="Arial" w:hAnsi="Arial" w:cs="Arial"/>
          <w:sz w:val="24"/>
          <w:szCs w:val="24"/>
          <w:lang w:val="en-US"/>
        </w:rPr>
      </w:pPr>
      <w:r>
        <w:rPr>
          <w:rFonts w:ascii="Arial" w:hAnsi="Arial" w:cs="Arial"/>
          <w:sz w:val="24"/>
          <w:szCs w:val="24"/>
          <w:lang w:val="en-US"/>
        </w:rPr>
        <w:t xml:space="preserve">At the first reference, </w:t>
      </w:r>
      <w:r w:rsidR="00A24979" w:rsidRPr="00A24979">
        <w:rPr>
          <w:rFonts w:ascii="Arial" w:hAnsi="Arial" w:cs="Arial"/>
          <w:sz w:val="24"/>
          <w:szCs w:val="24"/>
          <w:lang w:val="en-US"/>
        </w:rPr>
        <w:t>London</w:t>
      </w:r>
      <w:r w:rsidR="00A24979">
        <w:rPr>
          <w:rFonts w:ascii="Arial" w:hAnsi="Arial" w:cs="Arial"/>
          <w:sz w:val="24"/>
          <w:szCs w:val="24"/>
          <w:lang w:val="en-US"/>
        </w:rPr>
        <w:t xml:space="preserve"> Hydro was approved to recover the </w:t>
      </w:r>
      <w:r w:rsidR="0016442E">
        <w:rPr>
          <w:rFonts w:ascii="Arial" w:hAnsi="Arial" w:cs="Arial"/>
          <w:sz w:val="24"/>
          <w:szCs w:val="24"/>
          <w:lang w:val="en-US"/>
        </w:rPr>
        <w:t xml:space="preserve">retail transmission </w:t>
      </w:r>
      <w:r w:rsidR="00A24979">
        <w:rPr>
          <w:rFonts w:ascii="Arial" w:hAnsi="Arial" w:cs="Arial"/>
          <w:sz w:val="24"/>
          <w:szCs w:val="24"/>
          <w:lang w:val="en-US"/>
        </w:rPr>
        <w:t>revenue shortfall of $7,484,188</w:t>
      </w:r>
      <w:r w:rsidR="0016442E">
        <w:rPr>
          <w:rFonts w:ascii="Arial" w:hAnsi="Arial" w:cs="Arial"/>
          <w:bCs/>
          <w:sz w:val="24"/>
          <w:szCs w:val="24"/>
        </w:rPr>
        <w:t xml:space="preserve"> </w:t>
      </w:r>
      <w:r w:rsidR="00CC3022">
        <w:rPr>
          <w:rFonts w:ascii="Arial" w:hAnsi="Arial" w:cs="Arial"/>
          <w:bCs/>
          <w:sz w:val="24"/>
          <w:szCs w:val="24"/>
        </w:rPr>
        <w:t>by way of</w:t>
      </w:r>
      <w:r w:rsidR="0016442E">
        <w:rPr>
          <w:rFonts w:ascii="Arial" w:hAnsi="Arial" w:cs="Arial"/>
          <w:bCs/>
          <w:sz w:val="24"/>
          <w:szCs w:val="24"/>
        </w:rPr>
        <w:t xml:space="preserve"> </w:t>
      </w:r>
      <w:r w:rsidR="00814E26">
        <w:rPr>
          <w:rFonts w:ascii="Arial" w:hAnsi="Arial" w:cs="Arial"/>
          <w:bCs/>
          <w:sz w:val="24"/>
          <w:szCs w:val="24"/>
        </w:rPr>
        <w:t xml:space="preserve">18-month </w:t>
      </w:r>
      <w:r w:rsidR="0016442E">
        <w:rPr>
          <w:rFonts w:ascii="Arial" w:hAnsi="Arial" w:cs="Arial"/>
          <w:bCs/>
          <w:sz w:val="24"/>
          <w:szCs w:val="24"/>
        </w:rPr>
        <w:t xml:space="preserve">rate riders that ended on October </w:t>
      </w:r>
      <w:r w:rsidR="0016442E">
        <w:rPr>
          <w:rFonts w:ascii="Arial" w:hAnsi="Arial" w:cs="Arial"/>
          <w:bCs/>
          <w:sz w:val="24"/>
          <w:szCs w:val="24"/>
        </w:rPr>
        <w:lastRenderedPageBreak/>
        <w:t>31, 2020</w:t>
      </w:r>
      <w:r w:rsidR="00A24979">
        <w:rPr>
          <w:rFonts w:ascii="Arial" w:hAnsi="Arial" w:cs="Arial"/>
          <w:bCs/>
          <w:sz w:val="24"/>
          <w:szCs w:val="24"/>
        </w:rPr>
        <w:t>.</w:t>
      </w:r>
      <w:r w:rsidR="009A31CC">
        <w:rPr>
          <w:rFonts w:ascii="Arial" w:hAnsi="Arial" w:cs="Arial"/>
          <w:bCs/>
          <w:sz w:val="24"/>
          <w:szCs w:val="24"/>
        </w:rPr>
        <w:t xml:space="preserve"> </w:t>
      </w:r>
      <w:r w:rsidR="00952DF6">
        <w:rPr>
          <w:rFonts w:ascii="Arial" w:hAnsi="Arial" w:cs="Arial"/>
          <w:bCs/>
          <w:sz w:val="24"/>
          <w:szCs w:val="24"/>
        </w:rPr>
        <w:t xml:space="preserve">In the 2019 </w:t>
      </w:r>
      <w:r w:rsidR="00001518">
        <w:rPr>
          <w:rFonts w:ascii="Arial" w:hAnsi="Arial" w:cs="Arial"/>
          <w:bCs/>
          <w:sz w:val="24"/>
          <w:szCs w:val="24"/>
        </w:rPr>
        <w:t xml:space="preserve">IRM </w:t>
      </w:r>
      <w:r w:rsidR="00952DF6">
        <w:rPr>
          <w:rFonts w:ascii="Arial" w:hAnsi="Arial" w:cs="Arial"/>
          <w:bCs/>
          <w:sz w:val="24"/>
          <w:szCs w:val="24"/>
        </w:rPr>
        <w:t>decision, t</w:t>
      </w:r>
      <w:r w:rsidR="009A31CC">
        <w:rPr>
          <w:rFonts w:ascii="Arial" w:hAnsi="Arial" w:cs="Arial"/>
          <w:sz w:val="24"/>
          <w:szCs w:val="24"/>
          <w:lang w:val="en-US"/>
        </w:rPr>
        <w:t xml:space="preserve">he OEB directed London Hydro to record </w:t>
      </w:r>
      <w:r w:rsidR="00532129">
        <w:rPr>
          <w:rFonts w:ascii="Arial" w:hAnsi="Arial" w:cs="Arial"/>
          <w:sz w:val="24"/>
          <w:szCs w:val="24"/>
          <w:lang w:val="en-US"/>
        </w:rPr>
        <w:t xml:space="preserve">the following entries </w:t>
      </w:r>
      <w:r w:rsidR="009A31CC">
        <w:rPr>
          <w:rFonts w:ascii="Arial" w:hAnsi="Arial" w:cs="Arial"/>
          <w:sz w:val="24"/>
          <w:szCs w:val="24"/>
          <w:lang w:val="en-US"/>
        </w:rPr>
        <w:t xml:space="preserve">in its </w:t>
      </w:r>
      <w:r w:rsidR="00001518">
        <w:rPr>
          <w:rFonts w:ascii="Arial" w:hAnsi="Arial" w:cs="Arial"/>
          <w:sz w:val="24"/>
          <w:szCs w:val="24"/>
          <w:lang w:val="en-US"/>
        </w:rPr>
        <w:t>g</w:t>
      </w:r>
      <w:r w:rsidR="009A31CC">
        <w:rPr>
          <w:rFonts w:ascii="Arial" w:hAnsi="Arial" w:cs="Arial"/>
          <w:sz w:val="24"/>
          <w:szCs w:val="24"/>
          <w:lang w:val="en-US"/>
        </w:rPr>
        <w:t xml:space="preserve">eneral </w:t>
      </w:r>
      <w:r w:rsidR="00001518">
        <w:rPr>
          <w:rFonts w:ascii="Arial" w:hAnsi="Arial" w:cs="Arial"/>
          <w:sz w:val="24"/>
          <w:szCs w:val="24"/>
          <w:lang w:val="en-US"/>
        </w:rPr>
        <w:t>l</w:t>
      </w:r>
      <w:r w:rsidR="009A31CC">
        <w:rPr>
          <w:rFonts w:ascii="Arial" w:hAnsi="Arial" w:cs="Arial"/>
          <w:sz w:val="24"/>
          <w:szCs w:val="24"/>
          <w:lang w:val="en-US"/>
        </w:rPr>
        <w:t>edger</w:t>
      </w:r>
      <w:r w:rsidR="00532129">
        <w:rPr>
          <w:rFonts w:ascii="Arial" w:hAnsi="Arial" w:cs="Arial"/>
          <w:sz w:val="24"/>
          <w:szCs w:val="24"/>
          <w:lang w:val="en-US"/>
        </w:rPr>
        <w:t xml:space="preserve"> </w:t>
      </w:r>
      <w:r w:rsidR="0015311F">
        <w:rPr>
          <w:rFonts w:ascii="Arial" w:hAnsi="Arial" w:cs="Arial"/>
          <w:sz w:val="24"/>
          <w:szCs w:val="24"/>
          <w:lang w:val="en-US"/>
        </w:rPr>
        <w:t xml:space="preserve">and </w:t>
      </w:r>
      <w:r w:rsidR="00E15A73">
        <w:rPr>
          <w:rFonts w:ascii="Arial" w:hAnsi="Arial" w:cs="Arial"/>
          <w:sz w:val="24"/>
          <w:szCs w:val="24"/>
          <w:lang w:val="en-US"/>
        </w:rPr>
        <w:t xml:space="preserve">the </w:t>
      </w:r>
      <w:r w:rsidR="0015311F">
        <w:rPr>
          <w:rFonts w:ascii="Arial" w:hAnsi="Arial" w:cs="Arial"/>
          <w:sz w:val="24"/>
          <w:szCs w:val="24"/>
          <w:lang w:val="en-US"/>
        </w:rPr>
        <w:t>corresponding Account 1595 (2019)</w:t>
      </w:r>
      <w:r w:rsidR="00532129">
        <w:rPr>
          <w:rFonts w:ascii="Arial" w:hAnsi="Arial" w:cs="Arial"/>
          <w:sz w:val="24"/>
          <w:szCs w:val="24"/>
          <w:lang w:val="en-US"/>
        </w:rPr>
        <w:t>:</w:t>
      </w:r>
      <w:r w:rsidR="009A31CC">
        <w:rPr>
          <w:rFonts w:ascii="Arial" w:hAnsi="Arial" w:cs="Arial"/>
          <w:sz w:val="24"/>
          <w:szCs w:val="24"/>
          <w:lang w:val="en-US"/>
        </w:rPr>
        <w:t xml:space="preserve"> </w:t>
      </w:r>
    </w:p>
    <w:p w14:paraId="2D5071B4" w14:textId="2323367E" w:rsidR="00532129" w:rsidRPr="00532129" w:rsidRDefault="00532129" w:rsidP="00001518">
      <w:pPr>
        <w:pStyle w:val="ListParagraph"/>
        <w:numPr>
          <w:ilvl w:val="0"/>
          <w:numId w:val="12"/>
        </w:numPr>
        <w:rPr>
          <w:rFonts w:ascii="Arial" w:hAnsi="Arial" w:cs="Arial"/>
          <w:sz w:val="24"/>
          <w:szCs w:val="24"/>
          <w:lang w:val="en-US"/>
        </w:rPr>
      </w:pPr>
      <w:r>
        <w:rPr>
          <w:rFonts w:ascii="Arial" w:hAnsi="Arial" w:cs="Arial"/>
          <w:sz w:val="24"/>
          <w:szCs w:val="24"/>
          <w:lang w:val="en-US"/>
        </w:rPr>
        <w:t>A</w:t>
      </w:r>
      <w:r w:rsidR="009A31CC" w:rsidRPr="00532129">
        <w:rPr>
          <w:rFonts w:ascii="Arial" w:hAnsi="Arial" w:cs="Arial"/>
          <w:sz w:val="24"/>
          <w:szCs w:val="24"/>
          <w:lang w:val="en-US"/>
        </w:rPr>
        <w:t xml:space="preserve"> credit of $3,799,265 to </w:t>
      </w:r>
      <w:r w:rsidR="00955156" w:rsidRPr="00532129">
        <w:rPr>
          <w:rFonts w:ascii="Arial" w:hAnsi="Arial" w:cs="Arial"/>
          <w:sz w:val="24"/>
          <w:szCs w:val="24"/>
          <w:lang w:val="en-US"/>
        </w:rPr>
        <w:t>A</w:t>
      </w:r>
      <w:r w:rsidR="009A31CC" w:rsidRPr="00532129">
        <w:rPr>
          <w:rFonts w:ascii="Arial" w:hAnsi="Arial" w:cs="Arial"/>
          <w:sz w:val="24"/>
          <w:szCs w:val="24"/>
          <w:lang w:val="en-US"/>
        </w:rPr>
        <w:t>ccount 1584 Retail Transmission Network Charge</w:t>
      </w:r>
    </w:p>
    <w:p w14:paraId="28134D81" w14:textId="2732935F" w:rsidR="00532129" w:rsidRPr="00532129" w:rsidRDefault="00532129" w:rsidP="00001518">
      <w:pPr>
        <w:pStyle w:val="ListParagraph"/>
        <w:numPr>
          <w:ilvl w:val="0"/>
          <w:numId w:val="12"/>
        </w:numPr>
        <w:rPr>
          <w:rFonts w:ascii="Arial" w:hAnsi="Arial" w:cs="Arial"/>
          <w:sz w:val="24"/>
          <w:szCs w:val="24"/>
          <w:lang w:val="en-US"/>
        </w:rPr>
      </w:pPr>
      <w:r>
        <w:rPr>
          <w:rFonts w:ascii="Arial" w:hAnsi="Arial" w:cs="Arial"/>
          <w:sz w:val="24"/>
          <w:szCs w:val="24"/>
          <w:lang w:val="en-US"/>
        </w:rPr>
        <w:t>A</w:t>
      </w:r>
      <w:r w:rsidR="009A31CC" w:rsidRPr="00532129">
        <w:rPr>
          <w:rFonts w:ascii="Arial" w:hAnsi="Arial" w:cs="Arial"/>
          <w:sz w:val="24"/>
          <w:szCs w:val="24"/>
          <w:lang w:val="en-US"/>
        </w:rPr>
        <w:t xml:space="preserve"> credit of $3,684,923 to </w:t>
      </w:r>
      <w:r w:rsidR="00955156" w:rsidRPr="00532129">
        <w:rPr>
          <w:rFonts w:ascii="Arial" w:hAnsi="Arial" w:cs="Arial"/>
          <w:sz w:val="24"/>
          <w:szCs w:val="24"/>
          <w:lang w:val="en-US"/>
        </w:rPr>
        <w:t>A</w:t>
      </w:r>
      <w:r w:rsidR="009A31CC" w:rsidRPr="00532129">
        <w:rPr>
          <w:rFonts w:ascii="Arial" w:hAnsi="Arial" w:cs="Arial"/>
          <w:sz w:val="24"/>
          <w:szCs w:val="24"/>
          <w:lang w:val="en-US"/>
        </w:rPr>
        <w:t>ccount 1586 Retail Transmission Connection Charge</w:t>
      </w:r>
    </w:p>
    <w:p w14:paraId="164C2C23" w14:textId="77777777" w:rsidR="00532129" w:rsidRDefault="00532129" w:rsidP="00001518">
      <w:pPr>
        <w:pStyle w:val="ListParagraph"/>
        <w:numPr>
          <w:ilvl w:val="0"/>
          <w:numId w:val="12"/>
        </w:numPr>
        <w:rPr>
          <w:rFonts w:ascii="Arial" w:hAnsi="Arial" w:cs="Arial"/>
          <w:sz w:val="24"/>
          <w:szCs w:val="24"/>
          <w:lang w:val="en-US"/>
        </w:rPr>
      </w:pPr>
      <w:r>
        <w:rPr>
          <w:rFonts w:ascii="Arial" w:hAnsi="Arial" w:cs="Arial"/>
          <w:sz w:val="24"/>
          <w:szCs w:val="24"/>
          <w:lang w:val="en-US"/>
        </w:rPr>
        <w:t>A</w:t>
      </w:r>
      <w:r w:rsidR="009A31CC" w:rsidRPr="00532129">
        <w:rPr>
          <w:rFonts w:ascii="Arial" w:hAnsi="Arial" w:cs="Arial"/>
          <w:sz w:val="24"/>
          <w:szCs w:val="24"/>
          <w:lang w:val="en-US"/>
        </w:rPr>
        <w:t xml:space="preserve"> debit of $7,484,188 to </w:t>
      </w:r>
      <w:r w:rsidR="00955156" w:rsidRPr="00532129">
        <w:rPr>
          <w:rFonts w:ascii="Arial" w:hAnsi="Arial" w:cs="Arial"/>
          <w:sz w:val="24"/>
          <w:szCs w:val="24"/>
          <w:lang w:val="en-US"/>
        </w:rPr>
        <w:t>A</w:t>
      </w:r>
      <w:r w:rsidR="009A31CC" w:rsidRPr="00532129">
        <w:rPr>
          <w:rFonts w:ascii="Arial" w:hAnsi="Arial" w:cs="Arial"/>
          <w:sz w:val="24"/>
          <w:szCs w:val="24"/>
          <w:lang w:val="en-US"/>
        </w:rPr>
        <w:t xml:space="preserve">ccount 1595 (2019) </w:t>
      </w:r>
      <w:r w:rsidR="00CC3022" w:rsidRPr="00532129">
        <w:rPr>
          <w:rFonts w:ascii="Arial" w:hAnsi="Arial" w:cs="Arial"/>
          <w:sz w:val="24"/>
          <w:szCs w:val="24"/>
          <w:lang w:val="en-US"/>
        </w:rPr>
        <w:t>p</w:t>
      </w:r>
      <w:r w:rsidR="009A31CC" w:rsidRPr="00532129">
        <w:rPr>
          <w:rFonts w:ascii="Arial" w:hAnsi="Arial" w:cs="Arial"/>
          <w:sz w:val="24"/>
          <w:szCs w:val="24"/>
          <w:lang w:val="en-US"/>
        </w:rPr>
        <w:t>rincipal effective April 30, 2019</w:t>
      </w:r>
    </w:p>
    <w:p w14:paraId="6626A4FA" w14:textId="65A59240" w:rsidR="00071D79" w:rsidRPr="00532129" w:rsidRDefault="009A31CC" w:rsidP="00532129">
      <w:pPr>
        <w:rPr>
          <w:rFonts w:ascii="Arial" w:hAnsi="Arial" w:cs="Arial"/>
          <w:sz w:val="24"/>
          <w:szCs w:val="24"/>
          <w:lang w:val="en-US"/>
        </w:rPr>
      </w:pPr>
      <w:r w:rsidRPr="00532129">
        <w:rPr>
          <w:rFonts w:ascii="Arial" w:hAnsi="Arial" w:cs="Arial"/>
          <w:sz w:val="24"/>
          <w:szCs w:val="24"/>
          <w:lang w:val="en-US"/>
        </w:rPr>
        <w:t xml:space="preserve">The variance between the amounts approved for recovery and the amounts recovered </w:t>
      </w:r>
      <w:r w:rsidR="00990298" w:rsidRPr="00532129">
        <w:rPr>
          <w:rFonts w:ascii="Arial" w:hAnsi="Arial" w:cs="Arial"/>
          <w:sz w:val="24"/>
          <w:szCs w:val="24"/>
          <w:lang w:val="en-US"/>
        </w:rPr>
        <w:t>w</w:t>
      </w:r>
      <w:r w:rsidR="00532129">
        <w:rPr>
          <w:rFonts w:ascii="Arial" w:hAnsi="Arial" w:cs="Arial"/>
          <w:sz w:val="24"/>
          <w:szCs w:val="24"/>
          <w:lang w:val="en-US"/>
        </w:rPr>
        <w:t>as</w:t>
      </w:r>
      <w:r w:rsidRPr="00532129">
        <w:rPr>
          <w:rFonts w:ascii="Arial" w:hAnsi="Arial" w:cs="Arial"/>
          <w:sz w:val="24"/>
          <w:szCs w:val="24"/>
          <w:lang w:val="en-US"/>
        </w:rPr>
        <w:t xml:space="preserve"> to be captured in </w:t>
      </w:r>
      <w:r w:rsidR="00952320" w:rsidRPr="00532129">
        <w:rPr>
          <w:rFonts w:ascii="Arial" w:hAnsi="Arial" w:cs="Arial"/>
          <w:sz w:val="24"/>
          <w:szCs w:val="24"/>
          <w:lang w:val="en-US"/>
        </w:rPr>
        <w:t>the A</w:t>
      </w:r>
      <w:r w:rsidRPr="00532129">
        <w:rPr>
          <w:rFonts w:ascii="Arial" w:hAnsi="Arial" w:cs="Arial"/>
          <w:sz w:val="24"/>
          <w:szCs w:val="24"/>
          <w:lang w:val="en-US"/>
        </w:rPr>
        <w:t xml:space="preserve">ccount 1595 (2019) </w:t>
      </w:r>
      <w:r w:rsidR="00952320" w:rsidRPr="00532129">
        <w:rPr>
          <w:rFonts w:ascii="Arial" w:hAnsi="Arial" w:cs="Arial"/>
          <w:sz w:val="24"/>
          <w:szCs w:val="24"/>
          <w:lang w:val="en-US"/>
        </w:rPr>
        <w:t>p</w:t>
      </w:r>
      <w:r w:rsidRPr="00532129">
        <w:rPr>
          <w:rFonts w:ascii="Arial" w:hAnsi="Arial" w:cs="Arial"/>
          <w:sz w:val="24"/>
          <w:szCs w:val="24"/>
          <w:lang w:val="en-US"/>
        </w:rPr>
        <w:t>rincipal</w:t>
      </w:r>
      <w:r w:rsidR="00952320" w:rsidRPr="00532129">
        <w:rPr>
          <w:rFonts w:ascii="Arial" w:hAnsi="Arial" w:cs="Arial"/>
          <w:sz w:val="24"/>
          <w:szCs w:val="24"/>
          <w:lang w:val="en-US"/>
        </w:rPr>
        <w:t xml:space="preserve"> balance</w:t>
      </w:r>
      <w:r w:rsidRPr="00532129">
        <w:rPr>
          <w:rFonts w:ascii="Arial" w:hAnsi="Arial" w:cs="Arial"/>
          <w:sz w:val="24"/>
          <w:szCs w:val="24"/>
          <w:lang w:val="en-US"/>
        </w:rPr>
        <w:t>.</w:t>
      </w:r>
    </w:p>
    <w:p w14:paraId="66A18A5C" w14:textId="03F8CEAE" w:rsidR="00955156" w:rsidRDefault="00955156" w:rsidP="00406D05">
      <w:pPr>
        <w:rPr>
          <w:rFonts w:ascii="Arial" w:hAnsi="Arial" w:cs="Arial"/>
          <w:sz w:val="24"/>
          <w:szCs w:val="24"/>
          <w:lang w:val="en-US"/>
        </w:rPr>
      </w:pPr>
      <w:r>
        <w:rPr>
          <w:rFonts w:ascii="Arial" w:hAnsi="Arial" w:cs="Arial"/>
          <w:sz w:val="24"/>
          <w:szCs w:val="24"/>
          <w:lang w:val="en-US"/>
        </w:rPr>
        <w:t xml:space="preserve">At the second reference, the </w:t>
      </w:r>
      <w:r w:rsidR="00952DF6">
        <w:rPr>
          <w:rFonts w:ascii="Arial" w:hAnsi="Arial" w:cs="Arial"/>
          <w:sz w:val="24"/>
          <w:szCs w:val="24"/>
          <w:lang w:val="en-US"/>
        </w:rPr>
        <w:t xml:space="preserve">2019 </w:t>
      </w:r>
      <w:r>
        <w:rPr>
          <w:rFonts w:ascii="Arial" w:hAnsi="Arial" w:cs="Arial"/>
          <w:sz w:val="24"/>
          <w:szCs w:val="24"/>
          <w:lang w:val="en-US"/>
        </w:rPr>
        <w:t>continuity schedule include</w:t>
      </w:r>
      <w:r w:rsidR="00E15A73">
        <w:rPr>
          <w:rFonts w:ascii="Arial" w:hAnsi="Arial" w:cs="Arial"/>
          <w:sz w:val="24"/>
          <w:szCs w:val="24"/>
          <w:lang w:val="en-US"/>
        </w:rPr>
        <w:t>d</w:t>
      </w:r>
      <w:r>
        <w:rPr>
          <w:rFonts w:ascii="Arial" w:hAnsi="Arial" w:cs="Arial"/>
          <w:sz w:val="24"/>
          <w:szCs w:val="24"/>
          <w:lang w:val="en-US"/>
        </w:rPr>
        <w:t xml:space="preserve"> debit </w:t>
      </w:r>
      <w:r w:rsidR="0086540A">
        <w:rPr>
          <w:rFonts w:ascii="Arial" w:hAnsi="Arial" w:cs="Arial"/>
          <w:sz w:val="24"/>
          <w:szCs w:val="24"/>
          <w:lang w:val="en-US"/>
        </w:rPr>
        <w:t xml:space="preserve">balance </w:t>
      </w:r>
      <w:r>
        <w:rPr>
          <w:rFonts w:ascii="Arial" w:hAnsi="Arial" w:cs="Arial"/>
          <w:sz w:val="24"/>
          <w:szCs w:val="24"/>
          <w:lang w:val="en-US"/>
        </w:rPr>
        <w:t xml:space="preserve">principal adjustments to Accounts 1584 and 1586, and </w:t>
      </w:r>
      <w:r w:rsidR="00952320">
        <w:rPr>
          <w:rFonts w:ascii="Arial" w:hAnsi="Arial" w:cs="Arial"/>
          <w:sz w:val="24"/>
          <w:szCs w:val="24"/>
          <w:lang w:val="en-US"/>
        </w:rPr>
        <w:t xml:space="preserve">a </w:t>
      </w:r>
      <w:r w:rsidR="00CC3022" w:rsidRPr="00B26156">
        <w:rPr>
          <w:rFonts w:ascii="Arial" w:hAnsi="Arial" w:cs="Arial"/>
          <w:sz w:val="24"/>
          <w:szCs w:val="24"/>
          <w:lang w:val="en-US"/>
        </w:rPr>
        <w:t>credit</w:t>
      </w:r>
      <w:r w:rsidR="00CC3022">
        <w:rPr>
          <w:rFonts w:ascii="Arial" w:hAnsi="Arial" w:cs="Arial"/>
          <w:sz w:val="24"/>
          <w:szCs w:val="24"/>
          <w:lang w:val="en-US"/>
        </w:rPr>
        <w:t xml:space="preserve"> balance of </w:t>
      </w:r>
      <w:r w:rsidRPr="00B26156">
        <w:rPr>
          <w:rFonts w:ascii="Arial" w:hAnsi="Arial" w:cs="Arial"/>
          <w:sz w:val="24"/>
          <w:szCs w:val="24"/>
          <w:lang w:val="en-US"/>
        </w:rPr>
        <w:t>$8,302,809</w:t>
      </w:r>
      <w:r>
        <w:rPr>
          <w:rFonts w:ascii="Arial" w:hAnsi="Arial" w:cs="Arial"/>
          <w:sz w:val="24"/>
          <w:szCs w:val="24"/>
          <w:lang w:val="en-US"/>
        </w:rPr>
        <w:t xml:space="preserve"> recorded in </w:t>
      </w:r>
      <w:r w:rsidRPr="00B26156">
        <w:rPr>
          <w:rFonts w:ascii="Arial" w:hAnsi="Arial" w:cs="Arial"/>
          <w:sz w:val="24"/>
          <w:szCs w:val="24"/>
          <w:lang w:val="en-US"/>
        </w:rPr>
        <w:t>Account 1595 (2019)</w:t>
      </w:r>
      <w:r>
        <w:rPr>
          <w:rFonts w:ascii="Arial" w:hAnsi="Arial" w:cs="Arial"/>
          <w:sz w:val="24"/>
          <w:szCs w:val="24"/>
          <w:lang w:val="en-US"/>
        </w:rPr>
        <w:t>.</w:t>
      </w:r>
    </w:p>
    <w:p w14:paraId="7435B31B" w14:textId="77777777" w:rsidR="00071D79" w:rsidRDefault="00071D79" w:rsidP="00A24979">
      <w:pPr>
        <w:rPr>
          <w:rFonts w:ascii="Arial" w:hAnsi="Arial" w:cs="Arial"/>
          <w:bCs/>
          <w:sz w:val="24"/>
          <w:szCs w:val="24"/>
        </w:rPr>
      </w:pPr>
      <w:r>
        <w:rPr>
          <w:rFonts w:ascii="Arial" w:hAnsi="Arial" w:cs="Arial"/>
          <w:bCs/>
          <w:sz w:val="24"/>
          <w:szCs w:val="24"/>
        </w:rPr>
        <w:t>Question(s):</w:t>
      </w:r>
    </w:p>
    <w:p w14:paraId="71CB7EA4" w14:textId="6AC46525" w:rsidR="00071D79" w:rsidRPr="00406D05" w:rsidRDefault="00406D05" w:rsidP="00001518">
      <w:pPr>
        <w:pStyle w:val="ListParagraph"/>
        <w:numPr>
          <w:ilvl w:val="0"/>
          <w:numId w:val="2"/>
        </w:numPr>
        <w:rPr>
          <w:rFonts w:ascii="Arial" w:hAnsi="Arial" w:cs="Arial"/>
          <w:bCs/>
          <w:sz w:val="24"/>
          <w:szCs w:val="24"/>
        </w:rPr>
      </w:pPr>
      <w:r>
        <w:rPr>
          <w:rFonts w:ascii="Arial" w:hAnsi="Arial" w:cs="Arial"/>
          <w:bCs/>
          <w:sz w:val="24"/>
          <w:szCs w:val="24"/>
        </w:rPr>
        <w:t xml:space="preserve">Please confirm </w:t>
      </w:r>
      <w:r w:rsidR="00990298">
        <w:rPr>
          <w:rFonts w:ascii="Arial" w:hAnsi="Arial" w:cs="Arial"/>
          <w:bCs/>
          <w:sz w:val="24"/>
          <w:szCs w:val="24"/>
        </w:rPr>
        <w:t>that</w:t>
      </w:r>
      <w:r w:rsidR="005E47DE">
        <w:rPr>
          <w:rFonts w:ascii="Arial" w:hAnsi="Arial" w:cs="Arial"/>
          <w:sz w:val="24"/>
          <w:szCs w:val="24"/>
          <w:lang w:val="en-US"/>
        </w:rPr>
        <w:t xml:space="preserve"> the </w:t>
      </w:r>
      <w:r w:rsidR="002E55EE">
        <w:rPr>
          <w:rFonts w:ascii="Arial" w:hAnsi="Arial" w:cs="Arial"/>
          <w:sz w:val="24"/>
          <w:szCs w:val="24"/>
          <w:lang w:val="en-US"/>
        </w:rPr>
        <w:t xml:space="preserve">2019 </w:t>
      </w:r>
      <w:r w:rsidR="005E47DE">
        <w:rPr>
          <w:rFonts w:ascii="Arial" w:hAnsi="Arial" w:cs="Arial"/>
          <w:sz w:val="24"/>
          <w:szCs w:val="24"/>
          <w:lang w:val="en-US"/>
        </w:rPr>
        <w:t>principal adjustment</w:t>
      </w:r>
      <w:r w:rsidR="00E15A73">
        <w:rPr>
          <w:rFonts w:ascii="Arial" w:hAnsi="Arial" w:cs="Arial"/>
          <w:sz w:val="24"/>
          <w:szCs w:val="24"/>
          <w:lang w:val="en-US"/>
        </w:rPr>
        <w:t>s</w:t>
      </w:r>
      <w:r w:rsidR="00AE53E3">
        <w:rPr>
          <w:rFonts w:ascii="Arial" w:hAnsi="Arial" w:cs="Arial"/>
          <w:sz w:val="24"/>
          <w:szCs w:val="24"/>
          <w:lang w:val="en-US"/>
        </w:rPr>
        <w:t xml:space="preserve"> </w:t>
      </w:r>
      <w:r w:rsidR="005E47DE">
        <w:rPr>
          <w:rFonts w:ascii="Arial" w:hAnsi="Arial" w:cs="Arial"/>
          <w:sz w:val="24"/>
          <w:szCs w:val="24"/>
          <w:lang w:val="en-US"/>
        </w:rPr>
        <w:t>to Account</w:t>
      </w:r>
      <w:r w:rsidR="00E15A73">
        <w:rPr>
          <w:rFonts w:ascii="Arial" w:hAnsi="Arial" w:cs="Arial"/>
          <w:sz w:val="24"/>
          <w:szCs w:val="24"/>
          <w:lang w:val="en-US"/>
        </w:rPr>
        <w:t>s</w:t>
      </w:r>
      <w:r w:rsidR="005E47DE">
        <w:rPr>
          <w:rFonts w:ascii="Arial" w:hAnsi="Arial" w:cs="Arial"/>
          <w:sz w:val="24"/>
          <w:szCs w:val="24"/>
          <w:lang w:val="en-US"/>
        </w:rPr>
        <w:t xml:space="preserve"> 1584 and 1586</w:t>
      </w:r>
      <w:r w:rsidR="006D468F">
        <w:rPr>
          <w:rFonts w:ascii="Arial" w:hAnsi="Arial" w:cs="Arial"/>
          <w:sz w:val="24"/>
          <w:szCs w:val="24"/>
          <w:lang w:val="en-US"/>
        </w:rPr>
        <w:t xml:space="preserve"> </w:t>
      </w:r>
      <w:r w:rsidR="005E47DE">
        <w:rPr>
          <w:rFonts w:ascii="Arial" w:hAnsi="Arial" w:cs="Arial"/>
          <w:sz w:val="24"/>
          <w:szCs w:val="24"/>
          <w:lang w:val="en-US"/>
        </w:rPr>
        <w:t xml:space="preserve">reflect a one-time reversal of the credit adjustments recorded in the 2018 </w:t>
      </w:r>
      <w:r w:rsidR="00001518">
        <w:rPr>
          <w:rFonts w:ascii="Arial" w:hAnsi="Arial" w:cs="Arial"/>
          <w:sz w:val="24"/>
          <w:szCs w:val="24"/>
          <w:lang w:val="en-US"/>
        </w:rPr>
        <w:t>general ledger</w:t>
      </w:r>
      <w:r w:rsidR="002E55EE">
        <w:rPr>
          <w:rFonts w:ascii="Arial" w:hAnsi="Arial" w:cs="Arial"/>
          <w:sz w:val="24"/>
          <w:szCs w:val="24"/>
          <w:lang w:val="en-US"/>
        </w:rPr>
        <w:t>, as noted in</w:t>
      </w:r>
      <w:r w:rsidR="002E55EE" w:rsidRPr="002E55EE">
        <w:rPr>
          <w:rFonts w:ascii="Arial" w:hAnsi="Arial" w:cs="Arial"/>
          <w:sz w:val="24"/>
          <w:szCs w:val="24"/>
          <w:lang w:val="en-US"/>
        </w:rPr>
        <w:t xml:space="preserve"> </w:t>
      </w:r>
      <w:r w:rsidR="002E55EE">
        <w:rPr>
          <w:rFonts w:ascii="Arial" w:hAnsi="Arial" w:cs="Arial"/>
          <w:sz w:val="24"/>
          <w:szCs w:val="24"/>
          <w:lang w:val="en-US"/>
        </w:rPr>
        <w:t>the 2019 decision</w:t>
      </w:r>
      <w:r w:rsidR="006D468F">
        <w:rPr>
          <w:rFonts w:ascii="Arial" w:hAnsi="Arial" w:cs="Arial"/>
          <w:sz w:val="24"/>
          <w:szCs w:val="24"/>
          <w:lang w:val="en-US"/>
        </w:rPr>
        <w:t>.</w:t>
      </w:r>
    </w:p>
    <w:p w14:paraId="42FA401D" w14:textId="77777777" w:rsidR="00406D05" w:rsidRPr="00406D05" w:rsidRDefault="00406D05" w:rsidP="00406D05">
      <w:pPr>
        <w:pStyle w:val="ListParagraph"/>
        <w:rPr>
          <w:rFonts w:ascii="Arial" w:hAnsi="Arial" w:cs="Arial"/>
          <w:bCs/>
          <w:sz w:val="24"/>
          <w:szCs w:val="24"/>
        </w:rPr>
      </w:pPr>
    </w:p>
    <w:p w14:paraId="2753DE5F" w14:textId="18B66275" w:rsidR="00B26156" w:rsidRDefault="00B26156" w:rsidP="00001518">
      <w:pPr>
        <w:pStyle w:val="ListParagraph"/>
        <w:numPr>
          <w:ilvl w:val="0"/>
          <w:numId w:val="2"/>
        </w:numPr>
        <w:rPr>
          <w:rFonts w:ascii="Arial" w:hAnsi="Arial" w:cs="Arial"/>
          <w:sz w:val="24"/>
          <w:szCs w:val="24"/>
          <w:lang w:val="en-US"/>
        </w:rPr>
      </w:pPr>
      <w:r>
        <w:rPr>
          <w:rFonts w:ascii="Arial" w:hAnsi="Arial" w:cs="Arial"/>
          <w:sz w:val="24"/>
          <w:szCs w:val="24"/>
          <w:lang w:val="en-US"/>
        </w:rPr>
        <w:t xml:space="preserve">Please explain what the </w:t>
      </w:r>
      <w:r w:rsidR="00955156" w:rsidRPr="00B26156">
        <w:rPr>
          <w:rFonts w:ascii="Arial" w:hAnsi="Arial" w:cs="Arial"/>
          <w:sz w:val="24"/>
          <w:szCs w:val="24"/>
          <w:lang w:val="en-US"/>
        </w:rPr>
        <w:t>credit</w:t>
      </w:r>
      <w:r w:rsidR="00955156">
        <w:rPr>
          <w:rFonts w:ascii="Arial" w:hAnsi="Arial" w:cs="Arial"/>
          <w:sz w:val="24"/>
          <w:szCs w:val="24"/>
          <w:lang w:val="en-US"/>
        </w:rPr>
        <w:t xml:space="preserve"> balance</w:t>
      </w:r>
      <w:r w:rsidR="00955156" w:rsidRPr="00B26156">
        <w:rPr>
          <w:rFonts w:ascii="Arial" w:hAnsi="Arial" w:cs="Arial"/>
          <w:sz w:val="24"/>
          <w:szCs w:val="24"/>
          <w:lang w:val="en-US"/>
        </w:rPr>
        <w:t xml:space="preserve"> </w:t>
      </w:r>
      <w:r w:rsidR="00955156">
        <w:rPr>
          <w:rFonts w:ascii="Arial" w:hAnsi="Arial" w:cs="Arial"/>
          <w:sz w:val="24"/>
          <w:szCs w:val="24"/>
          <w:lang w:val="en-US"/>
        </w:rPr>
        <w:t xml:space="preserve">of </w:t>
      </w:r>
      <w:r w:rsidR="00594D02" w:rsidRPr="00B26156">
        <w:rPr>
          <w:rFonts w:ascii="Arial" w:hAnsi="Arial" w:cs="Arial"/>
          <w:sz w:val="24"/>
          <w:szCs w:val="24"/>
          <w:lang w:val="en-US"/>
        </w:rPr>
        <w:t>$8,302,809</w:t>
      </w:r>
      <w:r w:rsidR="00594D02">
        <w:rPr>
          <w:rFonts w:ascii="Arial" w:hAnsi="Arial" w:cs="Arial"/>
          <w:sz w:val="24"/>
          <w:szCs w:val="24"/>
          <w:lang w:val="en-US"/>
        </w:rPr>
        <w:t xml:space="preserve"> </w:t>
      </w:r>
      <w:r w:rsidR="00002375">
        <w:rPr>
          <w:rFonts w:ascii="Arial" w:hAnsi="Arial" w:cs="Arial"/>
          <w:sz w:val="24"/>
          <w:szCs w:val="24"/>
          <w:lang w:val="en-US"/>
        </w:rPr>
        <w:t xml:space="preserve">recorded </w:t>
      </w:r>
      <w:r w:rsidR="00E15A73">
        <w:rPr>
          <w:rFonts w:ascii="Arial" w:hAnsi="Arial" w:cs="Arial"/>
          <w:sz w:val="24"/>
          <w:szCs w:val="24"/>
          <w:lang w:val="en-US"/>
        </w:rPr>
        <w:t xml:space="preserve">in the </w:t>
      </w:r>
      <w:r w:rsidRPr="00B26156">
        <w:rPr>
          <w:rFonts w:ascii="Arial" w:hAnsi="Arial" w:cs="Arial"/>
          <w:sz w:val="24"/>
          <w:szCs w:val="24"/>
          <w:lang w:val="en-US"/>
        </w:rPr>
        <w:t>Account 1595 (2019)</w:t>
      </w:r>
      <w:r w:rsidR="00955156">
        <w:rPr>
          <w:rFonts w:ascii="Arial" w:hAnsi="Arial" w:cs="Arial"/>
          <w:sz w:val="24"/>
          <w:szCs w:val="24"/>
          <w:lang w:val="en-US"/>
        </w:rPr>
        <w:t xml:space="preserve"> </w:t>
      </w:r>
      <w:r w:rsidR="00E15A73">
        <w:rPr>
          <w:rFonts w:ascii="Arial" w:hAnsi="Arial" w:cs="Arial"/>
          <w:sz w:val="24"/>
          <w:szCs w:val="24"/>
          <w:lang w:val="en-US"/>
        </w:rPr>
        <w:t xml:space="preserve">principal account </w:t>
      </w:r>
      <w:r w:rsidR="00955156">
        <w:rPr>
          <w:rFonts w:ascii="Arial" w:hAnsi="Arial" w:cs="Arial"/>
          <w:sz w:val="24"/>
          <w:szCs w:val="24"/>
          <w:lang w:val="en-US"/>
        </w:rPr>
        <w:t>includes</w:t>
      </w:r>
      <w:r w:rsidR="00E15A73">
        <w:rPr>
          <w:rFonts w:ascii="Arial" w:hAnsi="Arial" w:cs="Arial"/>
          <w:sz w:val="24"/>
          <w:szCs w:val="24"/>
          <w:lang w:val="en-US"/>
        </w:rPr>
        <w:t>.</w:t>
      </w:r>
      <w:r w:rsidR="006D468F">
        <w:rPr>
          <w:rFonts w:ascii="Arial" w:hAnsi="Arial" w:cs="Arial"/>
          <w:sz w:val="24"/>
          <w:szCs w:val="24"/>
          <w:lang w:val="en-US"/>
        </w:rPr>
        <w:t xml:space="preserve"> </w:t>
      </w:r>
      <w:r w:rsidR="00E15A73">
        <w:rPr>
          <w:rFonts w:ascii="Arial" w:hAnsi="Arial" w:cs="Arial"/>
          <w:sz w:val="24"/>
          <w:szCs w:val="24"/>
          <w:lang w:val="en-US"/>
        </w:rPr>
        <w:t xml:space="preserve">Please </w:t>
      </w:r>
      <w:r w:rsidR="0015311F">
        <w:rPr>
          <w:rFonts w:ascii="Arial" w:hAnsi="Arial" w:cs="Arial"/>
          <w:sz w:val="24"/>
          <w:szCs w:val="24"/>
          <w:lang w:val="en-US"/>
        </w:rPr>
        <w:t xml:space="preserve">reconcile </w:t>
      </w:r>
      <w:r w:rsidR="00327B53">
        <w:rPr>
          <w:rFonts w:ascii="Arial" w:hAnsi="Arial" w:cs="Arial"/>
          <w:sz w:val="24"/>
          <w:szCs w:val="24"/>
          <w:lang w:val="en-US"/>
        </w:rPr>
        <w:t xml:space="preserve">this amount </w:t>
      </w:r>
      <w:r w:rsidR="0015311F">
        <w:rPr>
          <w:rFonts w:ascii="Arial" w:hAnsi="Arial" w:cs="Arial"/>
          <w:sz w:val="24"/>
          <w:szCs w:val="24"/>
          <w:lang w:val="en-US"/>
        </w:rPr>
        <w:t>with the</w:t>
      </w:r>
      <w:r>
        <w:rPr>
          <w:rFonts w:ascii="Arial" w:hAnsi="Arial" w:cs="Arial"/>
          <w:sz w:val="24"/>
          <w:szCs w:val="24"/>
          <w:lang w:val="en-US"/>
        </w:rPr>
        <w:t xml:space="preserve"> debit </w:t>
      </w:r>
      <w:r w:rsidR="00955156">
        <w:rPr>
          <w:rFonts w:ascii="Arial" w:hAnsi="Arial" w:cs="Arial"/>
          <w:sz w:val="24"/>
          <w:szCs w:val="24"/>
          <w:lang w:val="en-US"/>
        </w:rPr>
        <w:t xml:space="preserve">balance of </w:t>
      </w:r>
      <w:r>
        <w:rPr>
          <w:rFonts w:ascii="Arial" w:hAnsi="Arial" w:cs="Arial"/>
          <w:sz w:val="24"/>
          <w:szCs w:val="24"/>
          <w:lang w:val="en-US"/>
        </w:rPr>
        <w:t>$7,484,188</w:t>
      </w:r>
      <w:r w:rsidR="0015311F">
        <w:rPr>
          <w:rFonts w:ascii="Arial" w:hAnsi="Arial" w:cs="Arial"/>
          <w:sz w:val="24"/>
          <w:szCs w:val="24"/>
          <w:lang w:val="en-US"/>
        </w:rPr>
        <w:t>,</w:t>
      </w:r>
      <w:r w:rsidR="006D468F">
        <w:rPr>
          <w:rFonts w:ascii="Arial" w:hAnsi="Arial" w:cs="Arial"/>
          <w:sz w:val="24"/>
          <w:szCs w:val="24"/>
          <w:lang w:val="en-US"/>
        </w:rPr>
        <w:t xml:space="preserve"> </w:t>
      </w:r>
      <w:r w:rsidR="00002375">
        <w:rPr>
          <w:rFonts w:ascii="Arial" w:hAnsi="Arial" w:cs="Arial"/>
          <w:sz w:val="24"/>
          <w:szCs w:val="24"/>
          <w:lang w:val="en-US"/>
        </w:rPr>
        <w:t xml:space="preserve">which should have been recorded in Account 1595 (2019) </w:t>
      </w:r>
      <w:r w:rsidR="00CC3022">
        <w:rPr>
          <w:rFonts w:ascii="Arial" w:hAnsi="Arial" w:cs="Arial"/>
          <w:sz w:val="24"/>
          <w:szCs w:val="24"/>
          <w:lang w:val="en-US"/>
        </w:rPr>
        <w:t xml:space="preserve">as </w:t>
      </w:r>
      <w:r w:rsidR="0015311F">
        <w:rPr>
          <w:rFonts w:ascii="Arial" w:hAnsi="Arial" w:cs="Arial"/>
          <w:sz w:val="24"/>
          <w:szCs w:val="24"/>
          <w:lang w:val="en-US"/>
        </w:rPr>
        <w:t>per</w:t>
      </w:r>
      <w:r w:rsidR="00CC3022">
        <w:rPr>
          <w:rFonts w:ascii="Arial" w:hAnsi="Arial" w:cs="Arial"/>
          <w:sz w:val="24"/>
          <w:szCs w:val="24"/>
          <w:lang w:val="en-US"/>
        </w:rPr>
        <w:t xml:space="preserve"> the 2019 decision</w:t>
      </w:r>
      <w:r w:rsidR="00002375">
        <w:rPr>
          <w:rFonts w:ascii="Arial" w:hAnsi="Arial" w:cs="Arial"/>
          <w:sz w:val="24"/>
          <w:szCs w:val="24"/>
          <w:lang w:val="en-US"/>
        </w:rPr>
        <w:t>.</w:t>
      </w:r>
      <w:r w:rsidR="00FD0BA1">
        <w:rPr>
          <w:rFonts w:ascii="Arial" w:hAnsi="Arial" w:cs="Arial"/>
          <w:sz w:val="24"/>
          <w:szCs w:val="24"/>
          <w:lang w:val="en-US"/>
        </w:rPr>
        <w:t xml:space="preserve"> </w:t>
      </w:r>
    </w:p>
    <w:p w14:paraId="7C7F087E" w14:textId="5B9E673C" w:rsidR="00471CBA" w:rsidRDefault="00471CBA" w:rsidP="00814E26">
      <w:pPr>
        <w:rPr>
          <w:rFonts w:ascii="Arial" w:hAnsi="Arial" w:cs="Arial"/>
          <w:bCs/>
          <w:sz w:val="24"/>
          <w:szCs w:val="24"/>
        </w:rPr>
      </w:pPr>
    </w:p>
    <w:p w14:paraId="362D25B4" w14:textId="7E2B9DB9" w:rsidR="00002375" w:rsidRDefault="00002375" w:rsidP="00002375">
      <w:pPr>
        <w:pStyle w:val="Heading2"/>
      </w:pPr>
      <w:r>
        <w:t>Staff Question-</w:t>
      </w:r>
      <w:r w:rsidR="006F28BF">
        <w:t>4</w:t>
      </w:r>
    </w:p>
    <w:p w14:paraId="6395FB24" w14:textId="77777777" w:rsidR="0015311F" w:rsidRPr="0015311F" w:rsidRDefault="00002375" w:rsidP="0015311F">
      <w:pPr>
        <w:pStyle w:val="NoSpacing"/>
        <w:rPr>
          <w:rFonts w:ascii="Arial" w:hAnsi="Arial" w:cs="Arial"/>
          <w:sz w:val="24"/>
          <w:szCs w:val="24"/>
        </w:rPr>
      </w:pPr>
      <w:r w:rsidRPr="0015311F">
        <w:rPr>
          <w:rFonts w:ascii="Arial" w:hAnsi="Arial" w:cs="Arial"/>
          <w:sz w:val="24"/>
          <w:szCs w:val="24"/>
        </w:rPr>
        <w:t>Ref:</w:t>
      </w:r>
      <w:r w:rsidRPr="0015311F">
        <w:rPr>
          <w:rFonts w:ascii="Arial" w:hAnsi="Arial" w:cs="Arial"/>
          <w:sz w:val="24"/>
          <w:szCs w:val="24"/>
        </w:rPr>
        <w:tab/>
        <w:t xml:space="preserve">(1) EB-2018-0051, 2019 IRM proceeding, excel file: “London </w:t>
      </w:r>
      <w:r w:rsidRPr="0015311F">
        <w:rPr>
          <w:rFonts w:ascii="Arial" w:hAnsi="Arial" w:cs="Arial"/>
          <w:sz w:val="24"/>
          <w:szCs w:val="24"/>
        </w:rPr>
        <w:tab/>
      </w:r>
      <w:r w:rsidRPr="0015311F">
        <w:rPr>
          <w:rFonts w:ascii="Arial" w:hAnsi="Arial" w:cs="Arial"/>
          <w:sz w:val="24"/>
          <w:szCs w:val="24"/>
        </w:rPr>
        <w:tab/>
      </w:r>
    </w:p>
    <w:p w14:paraId="7799243B" w14:textId="064527A5" w:rsidR="00002375" w:rsidRPr="0015311F" w:rsidRDefault="00002375" w:rsidP="0015311F">
      <w:pPr>
        <w:pStyle w:val="NoSpacing"/>
        <w:ind w:left="1080"/>
        <w:rPr>
          <w:rFonts w:ascii="Arial" w:hAnsi="Arial" w:cs="Arial"/>
          <w:sz w:val="24"/>
          <w:szCs w:val="24"/>
        </w:rPr>
      </w:pPr>
      <w:r w:rsidRPr="0015311F">
        <w:rPr>
          <w:rFonts w:ascii="Arial" w:hAnsi="Arial" w:cs="Arial"/>
          <w:sz w:val="24"/>
          <w:szCs w:val="24"/>
        </w:rPr>
        <w:t xml:space="preserve">Hydro_Workbook_2018 RTSR_Corr_20181107” (Revised RTSR spreadsheet), Tab “2018 Full Corrected” </w:t>
      </w:r>
    </w:p>
    <w:p w14:paraId="490FE2DE" w14:textId="1F2A09B8" w:rsidR="00002375" w:rsidRPr="0015311F" w:rsidRDefault="00002375" w:rsidP="00002375">
      <w:pPr>
        <w:pStyle w:val="NoSpacing"/>
        <w:ind w:left="1080" w:hanging="360"/>
        <w:rPr>
          <w:rFonts w:ascii="Arial" w:hAnsi="Arial" w:cs="Arial"/>
          <w:sz w:val="24"/>
          <w:szCs w:val="24"/>
        </w:rPr>
      </w:pPr>
      <w:r w:rsidRPr="0015311F">
        <w:rPr>
          <w:rFonts w:ascii="Arial" w:hAnsi="Arial" w:cs="Arial"/>
          <w:sz w:val="24"/>
          <w:szCs w:val="24"/>
        </w:rPr>
        <w:t>(2) Rate Generator Model</w:t>
      </w:r>
      <w:r w:rsidR="00EC6B01">
        <w:rPr>
          <w:rFonts w:ascii="Arial" w:hAnsi="Arial" w:cs="Arial"/>
          <w:sz w:val="24"/>
          <w:szCs w:val="24"/>
        </w:rPr>
        <w:t>,</w:t>
      </w:r>
      <w:r w:rsidR="00EC6B01" w:rsidRPr="00EC6B01">
        <w:rPr>
          <w:rFonts w:ascii="Arial" w:hAnsi="Arial" w:cs="Arial"/>
          <w:sz w:val="24"/>
          <w:szCs w:val="24"/>
        </w:rPr>
        <w:t xml:space="preserve"> </w:t>
      </w:r>
      <w:r w:rsidR="00EC6B01" w:rsidRPr="00F335A1">
        <w:rPr>
          <w:rFonts w:ascii="Arial" w:hAnsi="Arial" w:cs="Arial"/>
          <w:sz w:val="24"/>
          <w:szCs w:val="24"/>
        </w:rPr>
        <w:t xml:space="preserve">dated Jan </w:t>
      </w:r>
      <w:proofErr w:type="gramStart"/>
      <w:r w:rsidR="00EC6B01" w:rsidRPr="00F335A1">
        <w:rPr>
          <w:rFonts w:ascii="Arial" w:hAnsi="Arial" w:cs="Arial"/>
          <w:sz w:val="24"/>
          <w:szCs w:val="24"/>
        </w:rPr>
        <w:t>2</w:t>
      </w:r>
      <w:r w:rsidR="00644305">
        <w:rPr>
          <w:rFonts w:ascii="Arial" w:hAnsi="Arial" w:cs="Arial"/>
          <w:sz w:val="24"/>
          <w:szCs w:val="24"/>
        </w:rPr>
        <w:t>5</w:t>
      </w:r>
      <w:proofErr w:type="gramEnd"/>
      <w:r w:rsidR="00EC6B01" w:rsidRPr="00F335A1">
        <w:rPr>
          <w:rFonts w:ascii="Arial" w:hAnsi="Arial" w:cs="Arial"/>
          <w:sz w:val="24"/>
          <w:szCs w:val="24"/>
        </w:rPr>
        <w:t xml:space="preserve"> 2021</w:t>
      </w:r>
      <w:r w:rsidRPr="0015311F">
        <w:rPr>
          <w:rFonts w:ascii="Arial" w:hAnsi="Arial" w:cs="Arial"/>
          <w:sz w:val="24"/>
          <w:szCs w:val="24"/>
        </w:rPr>
        <w:t xml:space="preserve"> – Tab 10 (non-loss adjusted kW for GS 50-4999 kW class) </w:t>
      </w:r>
    </w:p>
    <w:p w14:paraId="017F4D2C" w14:textId="2F98A2DA" w:rsidR="00002375" w:rsidRDefault="00002375" w:rsidP="00002375">
      <w:pPr>
        <w:pStyle w:val="NoSpacing"/>
        <w:ind w:left="1080" w:hanging="360"/>
        <w:rPr>
          <w:rFonts w:ascii="Arial" w:hAnsi="Arial" w:cs="Arial"/>
          <w:sz w:val="24"/>
          <w:szCs w:val="24"/>
        </w:rPr>
      </w:pPr>
      <w:r w:rsidRPr="0015311F">
        <w:rPr>
          <w:rFonts w:ascii="Arial" w:hAnsi="Arial" w:cs="Arial"/>
          <w:sz w:val="24"/>
          <w:szCs w:val="24"/>
        </w:rPr>
        <w:t>(3) Rate</w:t>
      </w:r>
      <w:r w:rsidRPr="00A24979">
        <w:rPr>
          <w:rFonts w:ascii="Arial" w:hAnsi="Arial" w:cs="Arial"/>
          <w:sz w:val="24"/>
          <w:szCs w:val="24"/>
        </w:rPr>
        <w:t xml:space="preserve"> Generator Model</w:t>
      </w:r>
      <w:r w:rsidR="00EC6B01">
        <w:rPr>
          <w:rFonts w:ascii="Arial" w:hAnsi="Arial" w:cs="Arial"/>
          <w:sz w:val="24"/>
          <w:szCs w:val="24"/>
        </w:rPr>
        <w:t>,</w:t>
      </w:r>
      <w:r w:rsidR="00EC6B01" w:rsidRPr="00EC6B01">
        <w:rPr>
          <w:rFonts w:ascii="Arial" w:hAnsi="Arial" w:cs="Arial"/>
          <w:sz w:val="24"/>
          <w:szCs w:val="24"/>
        </w:rPr>
        <w:t xml:space="preserve"> </w:t>
      </w:r>
      <w:r w:rsidR="00EC6B01" w:rsidRPr="00F335A1">
        <w:rPr>
          <w:rFonts w:ascii="Arial" w:hAnsi="Arial" w:cs="Arial"/>
          <w:sz w:val="24"/>
          <w:szCs w:val="24"/>
        </w:rPr>
        <w:t xml:space="preserve">dated Jan </w:t>
      </w:r>
      <w:proofErr w:type="gramStart"/>
      <w:r w:rsidR="00EC6B01" w:rsidRPr="00F335A1">
        <w:rPr>
          <w:rFonts w:ascii="Arial" w:hAnsi="Arial" w:cs="Arial"/>
          <w:sz w:val="24"/>
          <w:szCs w:val="24"/>
        </w:rPr>
        <w:t>2</w:t>
      </w:r>
      <w:r w:rsidR="00644305">
        <w:rPr>
          <w:rFonts w:ascii="Arial" w:hAnsi="Arial" w:cs="Arial"/>
          <w:sz w:val="24"/>
          <w:szCs w:val="24"/>
        </w:rPr>
        <w:t>5</w:t>
      </w:r>
      <w:proofErr w:type="gramEnd"/>
      <w:r w:rsidR="00EC6B01" w:rsidRPr="00F335A1">
        <w:rPr>
          <w:rFonts w:ascii="Arial" w:hAnsi="Arial" w:cs="Arial"/>
          <w:sz w:val="24"/>
          <w:szCs w:val="24"/>
        </w:rPr>
        <w:t xml:space="preserve"> 2021</w:t>
      </w:r>
      <w:r>
        <w:rPr>
          <w:rFonts w:ascii="Arial" w:hAnsi="Arial" w:cs="Arial"/>
          <w:sz w:val="24"/>
          <w:szCs w:val="24"/>
        </w:rPr>
        <w:t xml:space="preserve"> –</w:t>
      </w:r>
      <w:r w:rsidRPr="00A24979">
        <w:rPr>
          <w:rFonts w:ascii="Arial" w:hAnsi="Arial" w:cs="Arial"/>
          <w:sz w:val="24"/>
          <w:szCs w:val="24"/>
        </w:rPr>
        <w:t xml:space="preserve"> </w:t>
      </w:r>
      <w:r>
        <w:rPr>
          <w:rFonts w:ascii="Arial" w:hAnsi="Arial" w:cs="Arial"/>
          <w:sz w:val="24"/>
          <w:szCs w:val="24"/>
        </w:rPr>
        <w:t>Tab 20 (RTSR bill impact changes)</w:t>
      </w:r>
    </w:p>
    <w:p w14:paraId="763AC5E0" w14:textId="77777777" w:rsidR="00AE53E3" w:rsidRDefault="00AE53E3" w:rsidP="00AE53E3">
      <w:pPr>
        <w:pStyle w:val="NoSpacing"/>
      </w:pPr>
    </w:p>
    <w:p w14:paraId="1B7ADF4A" w14:textId="730086A8" w:rsidR="00002375" w:rsidRPr="00A24979" w:rsidRDefault="00002375" w:rsidP="00002375">
      <w:pPr>
        <w:rPr>
          <w:rFonts w:ascii="Arial" w:hAnsi="Arial" w:cs="Arial"/>
          <w:bCs/>
          <w:sz w:val="24"/>
          <w:szCs w:val="24"/>
        </w:rPr>
      </w:pPr>
      <w:r w:rsidRPr="00A24979">
        <w:rPr>
          <w:rFonts w:ascii="Arial" w:hAnsi="Arial" w:cs="Arial"/>
          <w:bCs/>
          <w:sz w:val="24"/>
          <w:szCs w:val="24"/>
        </w:rPr>
        <w:t>Preamble:</w:t>
      </w:r>
    </w:p>
    <w:p w14:paraId="649CAB2E" w14:textId="649D7B0E" w:rsidR="00002375" w:rsidRDefault="00002375" w:rsidP="00002375">
      <w:pPr>
        <w:rPr>
          <w:rFonts w:ascii="Arial" w:hAnsi="Arial" w:cs="Arial"/>
          <w:bCs/>
          <w:sz w:val="24"/>
          <w:szCs w:val="24"/>
        </w:rPr>
      </w:pPr>
      <w:r>
        <w:rPr>
          <w:rFonts w:ascii="Arial" w:hAnsi="Arial" w:cs="Arial"/>
          <w:bCs/>
          <w:sz w:val="24"/>
          <w:szCs w:val="24"/>
        </w:rPr>
        <w:t xml:space="preserve">OEB staff compared the 2018 and 2019 volumes in the </w:t>
      </w:r>
      <w:r w:rsidRPr="00952320">
        <w:rPr>
          <w:rFonts w:ascii="Arial" w:hAnsi="Arial" w:cs="Arial"/>
          <w:bCs/>
          <w:sz w:val="24"/>
          <w:szCs w:val="24"/>
        </w:rPr>
        <w:t xml:space="preserve">GS 50-4999 kW </w:t>
      </w:r>
      <w:r>
        <w:rPr>
          <w:rFonts w:ascii="Arial" w:hAnsi="Arial" w:cs="Arial"/>
          <w:bCs/>
          <w:sz w:val="24"/>
          <w:szCs w:val="24"/>
        </w:rPr>
        <w:t>class</w:t>
      </w:r>
      <w:r w:rsidRPr="00952320">
        <w:rPr>
          <w:rFonts w:ascii="Arial" w:hAnsi="Arial" w:cs="Arial"/>
          <w:bCs/>
          <w:sz w:val="24"/>
          <w:szCs w:val="24"/>
        </w:rPr>
        <w:t xml:space="preserve"> </w:t>
      </w:r>
      <w:r>
        <w:rPr>
          <w:rFonts w:ascii="Arial" w:hAnsi="Arial" w:cs="Arial"/>
          <w:bCs/>
          <w:sz w:val="24"/>
          <w:szCs w:val="24"/>
        </w:rPr>
        <w:t>and note</w:t>
      </w:r>
      <w:r w:rsidR="0015311F">
        <w:rPr>
          <w:rFonts w:ascii="Arial" w:hAnsi="Arial" w:cs="Arial"/>
          <w:bCs/>
          <w:sz w:val="24"/>
          <w:szCs w:val="24"/>
        </w:rPr>
        <w:t>d</w:t>
      </w:r>
      <w:r>
        <w:rPr>
          <w:rFonts w:ascii="Arial" w:hAnsi="Arial" w:cs="Arial"/>
          <w:bCs/>
          <w:sz w:val="24"/>
          <w:szCs w:val="24"/>
        </w:rPr>
        <w:t xml:space="preserve"> the following observations:</w:t>
      </w:r>
    </w:p>
    <w:p w14:paraId="15B50C29" w14:textId="0D8355C0" w:rsidR="00CE7DAC" w:rsidRDefault="006274A3" w:rsidP="00001518">
      <w:pPr>
        <w:pStyle w:val="ListParagraph"/>
        <w:numPr>
          <w:ilvl w:val="0"/>
          <w:numId w:val="4"/>
        </w:numPr>
        <w:rPr>
          <w:rFonts w:ascii="Arial" w:hAnsi="Arial" w:cs="Arial"/>
          <w:bCs/>
          <w:sz w:val="24"/>
          <w:szCs w:val="24"/>
        </w:rPr>
      </w:pPr>
      <w:r>
        <w:rPr>
          <w:rFonts w:ascii="Arial" w:hAnsi="Arial" w:cs="Arial"/>
          <w:bCs/>
          <w:sz w:val="24"/>
          <w:szCs w:val="24"/>
        </w:rPr>
        <w:t xml:space="preserve">At the first reference, </w:t>
      </w:r>
      <w:r w:rsidR="00002375">
        <w:rPr>
          <w:rFonts w:ascii="Arial" w:hAnsi="Arial" w:cs="Arial"/>
          <w:bCs/>
          <w:sz w:val="24"/>
          <w:szCs w:val="24"/>
        </w:rPr>
        <w:t xml:space="preserve">the corrected </w:t>
      </w:r>
      <w:r w:rsidR="00002375" w:rsidRPr="00952320">
        <w:rPr>
          <w:rFonts w:ascii="Arial" w:hAnsi="Arial" w:cs="Arial"/>
          <w:bCs/>
          <w:sz w:val="24"/>
          <w:szCs w:val="24"/>
        </w:rPr>
        <w:t xml:space="preserve">2018 non-loss adjusted billing determinants </w:t>
      </w:r>
      <w:r w:rsidR="00002375">
        <w:rPr>
          <w:rFonts w:ascii="Arial" w:hAnsi="Arial" w:cs="Arial"/>
          <w:bCs/>
          <w:sz w:val="24"/>
          <w:szCs w:val="24"/>
        </w:rPr>
        <w:t>was</w:t>
      </w:r>
      <w:r w:rsidR="00002375" w:rsidRPr="00952320">
        <w:rPr>
          <w:rFonts w:ascii="Arial" w:hAnsi="Arial" w:cs="Arial"/>
          <w:bCs/>
          <w:sz w:val="24"/>
          <w:szCs w:val="24"/>
        </w:rPr>
        <w:t xml:space="preserve"> </w:t>
      </w:r>
      <w:r w:rsidR="00CE7DAC">
        <w:rPr>
          <w:rFonts w:ascii="Arial" w:hAnsi="Arial" w:cs="Arial"/>
          <w:bCs/>
          <w:sz w:val="24"/>
          <w:szCs w:val="24"/>
        </w:rPr>
        <w:t xml:space="preserve">a total of </w:t>
      </w:r>
      <w:r w:rsidR="00002375" w:rsidRPr="00952320">
        <w:rPr>
          <w:rFonts w:ascii="Arial" w:hAnsi="Arial" w:cs="Arial"/>
          <w:bCs/>
          <w:sz w:val="24"/>
          <w:szCs w:val="24"/>
        </w:rPr>
        <w:t>3,763,315 kW comprised of</w:t>
      </w:r>
      <w:r w:rsidR="00CE7DAC">
        <w:rPr>
          <w:rFonts w:ascii="Arial" w:hAnsi="Arial" w:cs="Arial"/>
          <w:bCs/>
          <w:sz w:val="24"/>
          <w:szCs w:val="24"/>
        </w:rPr>
        <w:t>:</w:t>
      </w:r>
    </w:p>
    <w:p w14:paraId="3955D1EB" w14:textId="703BFE04" w:rsidR="00CE7DAC" w:rsidRPr="00CE7DAC" w:rsidRDefault="00952DF6" w:rsidP="00001518">
      <w:pPr>
        <w:pStyle w:val="ListParagraph"/>
        <w:numPr>
          <w:ilvl w:val="0"/>
          <w:numId w:val="10"/>
        </w:numPr>
        <w:rPr>
          <w:rFonts w:ascii="Arial" w:hAnsi="Arial" w:cs="Arial"/>
          <w:bCs/>
          <w:sz w:val="24"/>
          <w:szCs w:val="24"/>
        </w:rPr>
      </w:pPr>
      <w:r w:rsidRPr="00CE7DAC">
        <w:rPr>
          <w:rFonts w:ascii="Arial" w:hAnsi="Arial" w:cs="Arial"/>
          <w:bCs/>
          <w:sz w:val="24"/>
          <w:szCs w:val="24"/>
        </w:rPr>
        <w:t xml:space="preserve">965,337 kW </w:t>
      </w:r>
      <w:r>
        <w:rPr>
          <w:rFonts w:ascii="Arial" w:hAnsi="Arial" w:cs="Arial"/>
          <w:bCs/>
          <w:sz w:val="24"/>
          <w:szCs w:val="24"/>
        </w:rPr>
        <w:t>from</w:t>
      </w:r>
      <w:r w:rsidR="00CE7DAC" w:rsidRPr="00CE7DAC">
        <w:rPr>
          <w:rFonts w:ascii="Arial" w:hAnsi="Arial" w:cs="Arial"/>
          <w:bCs/>
          <w:sz w:val="24"/>
          <w:szCs w:val="24"/>
        </w:rPr>
        <w:t xml:space="preserve"> the </w:t>
      </w:r>
      <w:r w:rsidR="00002375" w:rsidRPr="00CE7DAC">
        <w:rPr>
          <w:rFonts w:ascii="Arial" w:hAnsi="Arial" w:cs="Arial"/>
          <w:bCs/>
          <w:sz w:val="24"/>
          <w:szCs w:val="24"/>
        </w:rPr>
        <w:t>GS 50-4999 kW</w:t>
      </w:r>
      <w:r w:rsidR="00CE7DAC" w:rsidRPr="00CE7DAC">
        <w:rPr>
          <w:rFonts w:ascii="Arial" w:hAnsi="Arial" w:cs="Arial"/>
          <w:bCs/>
          <w:sz w:val="24"/>
          <w:szCs w:val="24"/>
        </w:rPr>
        <w:t xml:space="preserve"> class</w:t>
      </w:r>
    </w:p>
    <w:p w14:paraId="695FE26B" w14:textId="3C64FFFE" w:rsidR="00002375" w:rsidRPr="00CE7DAC" w:rsidRDefault="00952DF6" w:rsidP="00001518">
      <w:pPr>
        <w:pStyle w:val="ListParagraph"/>
        <w:numPr>
          <w:ilvl w:val="0"/>
          <w:numId w:val="10"/>
        </w:numPr>
        <w:rPr>
          <w:rFonts w:ascii="Arial" w:hAnsi="Arial" w:cs="Arial"/>
          <w:bCs/>
          <w:sz w:val="24"/>
          <w:szCs w:val="24"/>
        </w:rPr>
      </w:pPr>
      <w:r w:rsidRPr="00CE7DAC">
        <w:rPr>
          <w:rFonts w:ascii="Arial" w:hAnsi="Arial" w:cs="Arial"/>
          <w:bCs/>
          <w:sz w:val="24"/>
          <w:szCs w:val="24"/>
        </w:rPr>
        <w:t xml:space="preserve">2,802,978 kW </w:t>
      </w:r>
      <w:r>
        <w:rPr>
          <w:rFonts w:ascii="Arial" w:hAnsi="Arial" w:cs="Arial"/>
          <w:bCs/>
          <w:sz w:val="24"/>
          <w:szCs w:val="24"/>
        </w:rPr>
        <w:t>from</w:t>
      </w:r>
      <w:r w:rsidR="00CE7DAC" w:rsidRPr="00CE7DAC">
        <w:rPr>
          <w:rFonts w:ascii="Arial" w:hAnsi="Arial" w:cs="Arial"/>
          <w:bCs/>
          <w:sz w:val="24"/>
          <w:szCs w:val="24"/>
        </w:rPr>
        <w:t xml:space="preserve"> </w:t>
      </w:r>
      <w:r w:rsidR="00E15A73">
        <w:rPr>
          <w:rFonts w:ascii="Arial" w:hAnsi="Arial" w:cs="Arial"/>
          <w:bCs/>
          <w:sz w:val="24"/>
          <w:szCs w:val="24"/>
        </w:rPr>
        <w:t xml:space="preserve">the </w:t>
      </w:r>
      <w:r w:rsidR="00002375" w:rsidRPr="00CE7DAC">
        <w:rPr>
          <w:rFonts w:ascii="Arial" w:hAnsi="Arial" w:cs="Arial"/>
          <w:bCs/>
          <w:sz w:val="24"/>
          <w:szCs w:val="24"/>
        </w:rPr>
        <w:t>GS 50-4999 kW (interval metered)</w:t>
      </w:r>
      <w:r w:rsidR="00CE7DAC" w:rsidRPr="00CE7DAC">
        <w:rPr>
          <w:rFonts w:ascii="Arial" w:hAnsi="Arial" w:cs="Arial"/>
          <w:bCs/>
          <w:sz w:val="24"/>
          <w:szCs w:val="24"/>
        </w:rPr>
        <w:t xml:space="preserve"> class</w:t>
      </w:r>
    </w:p>
    <w:p w14:paraId="667BFFA2" w14:textId="77777777" w:rsidR="00CE7DAC" w:rsidRDefault="00CE7DAC" w:rsidP="00CE7DAC">
      <w:pPr>
        <w:pStyle w:val="ListParagraph"/>
        <w:rPr>
          <w:rFonts w:ascii="Arial" w:hAnsi="Arial" w:cs="Arial"/>
          <w:bCs/>
          <w:sz w:val="24"/>
          <w:szCs w:val="24"/>
        </w:rPr>
      </w:pPr>
    </w:p>
    <w:p w14:paraId="79B7FA34" w14:textId="530D3587" w:rsidR="00CE7DAC" w:rsidRDefault="006274A3" w:rsidP="00001518">
      <w:pPr>
        <w:pStyle w:val="ListParagraph"/>
        <w:numPr>
          <w:ilvl w:val="0"/>
          <w:numId w:val="4"/>
        </w:numPr>
        <w:rPr>
          <w:rFonts w:ascii="Arial" w:hAnsi="Arial" w:cs="Arial"/>
          <w:bCs/>
          <w:sz w:val="24"/>
          <w:szCs w:val="24"/>
        </w:rPr>
      </w:pPr>
      <w:r>
        <w:rPr>
          <w:rFonts w:ascii="Arial" w:hAnsi="Arial" w:cs="Arial"/>
          <w:bCs/>
          <w:sz w:val="24"/>
          <w:szCs w:val="24"/>
        </w:rPr>
        <w:t>At the second reference,</w:t>
      </w:r>
      <w:r w:rsidR="00002375" w:rsidRPr="00952320">
        <w:rPr>
          <w:rFonts w:ascii="Arial" w:hAnsi="Arial" w:cs="Arial"/>
          <w:bCs/>
          <w:sz w:val="24"/>
          <w:szCs w:val="24"/>
        </w:rPr>
        <w:t xml:space="preserve"> </w:t>
      </w:r>
      <w:r w:rsidR="00002375">
        <w:rPr>
          <w:rFonts w:ascii="Arial" w:hAnsi="Arial" w:cs="Arial"/>
          <w:bCs/>
          <w:sz w:val="24"/>
          <w:szCs w:val="24"/>
        </w:rPr>
        <w:t xml:space="preserve">the </w:t>
      </w:r>
      <w:r w:rsidR="00002375" w:rsidRPr="00952320">
        <w:rPr>
          <w:rFonts w:ascii="Arial" w:hAnsi="Arial" w:cs="Arial"/>
          <w:bCs/>
          <w:sz w:val="24"/>
          <w:szCs w:val="24"/>
        </w:rPr>
        <w:t xml:space="preserve">2019 non-loss adjusted billing determinants </w:t>
      </w:r>
      <w:r w:rsidR="00002375">
        <w:rPr>
          <w:rFonts w:ascii="Arial" w:hAnsi="Arial" w:cs="Arial"/>
          <w:bCs/>
          <w:sz w:val="24"/>
          <w:szCs w:val="24"/>
        </w:rPr>
        <w:t>was</w:t>
      </w:r>
      <w:r w:rsidR="00002375" w:rsidRPr="00952320">
        <w:rPr>
          <w:rFonts w:ascii="Arial" w:hAnsi="Arial" w:cs="Arial"/>
          <w:bCs/>
          <w:sz w:val="24"/>
          <w:szCs w:val="24"/>
        </w:rPr>
        <w:t xml:space="preserve"> </w:t>
      </w:r>
      <w:r w:rsidR="00CE7DAC">
        <w:rPr>
          <w:rFonts w:ascii="Arial" w:hAnsi="Arial" w:cs="Arial"/>
          <w:bCs/>
          <w:sz w:val="24"/>
          <w:szCs w:val="24"/>
        </w:rPr>
        <w:t xml:space="preserve">a total of </w:t>
      </w:r>
      <w:r w:rsidR="00002375" w:rsidRPr="00952320">
        <w:rPr>
          <w:rFonts w:ascii="Arial" w:hAnsi="Arial" w:cs="Arial"/>
          <w:bCs/>
          <w:sz w:val="24"/>
          <w:szCs w:val="24"/>
        </w:rPr>
        <w:t>3,668,057 kW</w:t>
      </w:r>
      <w:r w:rsidR="00002375">
        <w:rPr>
          <w:rFonts w:ascii="Arial" w:hAnsi="Arial" w:cs="Arial"/>
          <w:bCs/>
          <w:sz w:val="24"/>
          <w:szCs w:val="24"/>
        </w:rPr>
        <w:t xml:space="preserve"> comprised of</w:t>
      </w:r>
      <w:r w:rsidR="00CE7DAC">
        <w:rPr>
          <w:rFonts w:ascii="Arial" w:hAnsi="Arial" w:cs="Arial"/>
          <w:bCs/>
          <w:sz w:val="24"/>
          <w:szCs w:val="24"/>
        </w:rPr>
        <w:t>:</w:t>
      </w:r>
    </w:p>
    <w:p w14:paraId="6A6B663B" w14:textId="7E7B9727" w:rsidR="00CE7DAC" w:rsidRDefault="00952DF6" w:rsidP="00001518">
      <w:pPr>
        <w:pStyle w:val="ListParagraph"/>
        <w:numPr>
          <w:ilvl w:val="0"/>
          <w:numId w:val="11"/>
        </w:numPr>
        <w:rPr>
          <w:rFonts w:ascii="Arial" w:hAnsi="Arial" w:cs="Arial"/>
          <w:bCs/>
          <w:sz w:val="24"/>
          <w:szCs w:val="24"/>
        </w:rPr>
      </w:pPr>
      <w:r w:rsidRPr="00CE7DAC">
        <w:rPr>
          <w:rFonts w:ascii="Arial" w:hAnsi="Arial" w:cs="Arial"/>
          <w:bCs/>
          <w:sz w:val="24"/>
          <w:szCs w:val="24"/>
        </w:rPr>
        <w:t>128,689 kW</w:t>
      </w:r>
      <w:r>
        <w:rPr>
          <w:rFonts w:ascii="Arial" w:hAnsi="Arial" w:cs="Arial"/>
          <w:bCs/>
          <w:sz w:val="24"/>
          <w:szCs w:val="24"/>
        </w:rPr>
        <w:t xml:space="preserve"> from </w:t>
      </w:r>
      <w:r w:rsidR="00CE7DAC">
        <w:rPr>
          <w:rFonts w:ascii="Arial" w:hAnsi="Arial" w:cs="Arial"/>
          <w:bCs/>
          <w:sz w:val="24"/>
          <w:szCs w:val="24"/>
        </w:rPr>
        <w:t xml:space="preserve">the </w:t>
      </w:r>
      <w:r w:rsidR="00002375" w:rsidRPr="00CE7DAC">
        <w:rPr>
          <w:rFonts w:ascii="Arial" w:hAnsi="Arial" w:cs="Arial"/>
          <w:bCs/>
          <w:sz w:val="24"/>
          <w:szCs w:val="24"/>
        </w:rPr>
        <w:t>GS 50-4999 kW</w:t>
      </w:r>
      <w:r w:rsidR="00CE7DAC">
        <w:rPr>
          <w:rFonts w:ascii="Arial" w:hAnsi="Arial" w:cs="Arial"/>
          <w:bCs/>
          <w:sz w:val="24"/>
          <w:szCs w:val="24"/>
        </w:rPr>
        <w:t xml:space="preserve"> class</w:t>
      </w:r>
    </w:p>
    <w:p w14:paraId="1E7E137E" w14:textId="78A0C236" w:rsidR="00002375" w:rsidRPr="00CE7DAC" w:rsidRDefault="00952DF6" w:rsidP="00001518">
      <w:pPr>
        <w:pStyle w:val="ListParagraph"/>
        <w:numPr>
          <w:ilvl w:val="0"/>
          <w:numId w:val="11"/>
        </w:numPr>
        <w:rPr>
          <w:rFonts w:ascii="Arial" w:hAnsi="Arial" w:cs="Arial"/>
          <w:bCs/>
          <w:sz w:val="24"/>
          <w:szCs w:val="24"/>
        </w:rPr>
      </w:pPr>
      <w:r w:rsidRPr="00CE7DAC">
        <w:rPr>
          <w:rFonts w:ascii="Arial" w:hAnsi="Arial" w:cs="Arial"/>
          <w:bCs/>
          <w:sz w:val="24"/>
          <w:szCs w:val="24"/>
        </w:rPr>
        <w:t>3,539,368 kW</w:t>
      </w:r>
      <w:r>
        <w:rPr>
          <w:rFonts w:ascii="Arial" w:hAnsi="Arial" w:cs="Arial"/>
          <w:bCs/>
          <w:sz w:val="24"/>
          <w:szCs w:val="24"/>
        </w:rPr>
        <w:t xml:space="preserve"> from</w:t>
      </w:r>
      <w:r w:rsidR="00CE7DAC">
        <w:rPr>
          <w:rFonts w:ascii="Arial" w:hAnsi="Arial" w:cs="Arial"/>
          <w:bCs/>
          <w:sz w:val="24"/>
          <w:szCs w:val="24"/>
        </w:rPr>
        <w:t xml:space="preserve"> </w:t>
      </w:r>
      <w:r w:rsidR="00E15A73">
        <w:rPr>
          <w:rFonts w:ascii="Arial" w:hAnsi="Arial" w:cs="Arial"/>
          <w:bCs/>
          <w:sz w:val="24"/>
          <w:szCs w:val="24"/>
        </w:rPr>
        <w:t xml:space="preserve">the </w:t>
      </w:r>
      <w:r w:rsidR="00002375" w:rsidRPr="00CE7DAC">
        <w:rPr>
          <w:rFonts w:ascii="Arial" w:hAnsi="Arial" w:cs="Arial"/>
          <w:bCs/>
          <w:sz w:val="24"/>
          <w:szCs w:val="24"/>
        </w:rPr>
        <w:t>GS 50-4999 kW (interval metered)</w:t>
      </w:r>
      <w:r w:rsidR="00CE7DAC">
        <w:rPr>
          <w:rFonts w:ascii="Arial" w:hAnsi="Arial" w:cs="Arial"/>
          <w:bCs/>
          <w:sz w:val="24"/>
          <w:szCs w:val="24"/>
        </w:rPr>
        <w:t xml:space="preserve"> class</w:t>
      </w:r>
    </w:p>
    <w:p w14:paraId="65BE7C79" w14:textId="0254E66C" w:rsidR="00002375" w:rsidRDefault="00002375" w:rsidP="00002375">
      <w:pPr>
        <w:rPr>
          <w:rFonts w:ascii="Arial" w:hAnsi="Arial" w:cs="Arial"/>
          <w:bCs/>
          <w:sz w:val="24"/>
          <w:szCs w:val="24"/>
        </w:rPr>
      </w:pPr>
      <w:r>
        <w:rPr>
          <w:rFonts w:ascii="Arial" w:hAnsi="Arial" w:cs="Arial"/>
          <w:sz w:val="24"/>
          <w:szCs w:val="24"/>
        </w:rPr>
        <w:t xml:space="preserve">At the third reference, </w:t>
      </w:r>
      <w:r w:rsidRPr="00471CBA">
        <w:rPr>
          <w:rFonts w:ascii="Arial" w:hAnsi="Arial" w:cs="Arial"/>
          <w:sz w:val="24"/>
          <w:szCs w:val="24"/>
        </w:rPr>
        <w:t xml:space="preserve">Tab 20 of the </w:t>
      </w:r>
      <w:r w:rsidRPr="00471CBA">
        <w:rPr>
          <w:rFonts w:ascii="Arial" w:hAnsi="Arial" w:cs="Arial"/>
          <w:bCs/>
          <w:sz w:val="24"/>
          <w:szCs w:val="24"/>
        </w:rPr>
        <w:t>Rate Generator Model</w:t>
      </w:r>
      <w:r>
        <w:rPr>
          <w:rFonts w:ascii="Arial" w:hAnsi="Arial" w:cs="Arial"/>
          <w:bCs/>
          <w:sz w:val="24"/>
          <w:szCs w:val="24"/>
        </w:rPr>
        <w:t xml:space="preserve"> indicates that</w:t>
      </w:r>
      <w:r w:rsidRPr="00471CBA">
        <w:rPr>
          <w:rFonts w:ascii="Arial" w:hAnsi="Arial" w:cs="Arial"/>
          <w:bCs/>
          <w:sz w:val="24"/>
          <w:szCs w:val="24"/>
        </w:rPr>
        <w:t xml:space="preserve"> an explanation is required</w:t>
      </w:r>
      <w:r w:rsidR="000D25A0">
        <w:rPr>
          <w:rFonts w:ascii="Arial" w:hAnsi="Arial" w:cs="Arial"/>
          <w:bCs/>
          <w:sz w:val="24"/>
          <w:szCs w:val="24"/>
        </w:rPr>
        <w:t xml:space="preserve"> in the Manager’s Summary</w:t>
      </w:r>
      <w:r>
        <w:rPr>
          <w:rFonts w:ascii="Arial" w:hAnsi="Arial" w:cs="Arial"/>
          <w:bCs/>
          <w:sz w:val="24"/>
          <w:szCs w:val="24"/>
        </w:rPr>
        <w:t>,</w:t>
      </w:r>
      <w:r w:rsidRPr="00471CBA">
        <w:rPr>
          <w:rFonts w:ascii="Arial" w:hAnsi="Arial" w:cs="Arial"/>
          <w:bCs/>
          <w:sz w:val="24"/>
          <w:szCs w:val="24"/>
        </w:rPr>
        <w:t xml:space="preserve"> if the change in RTSR charges is </w:t>
      </w:r>
      <w:r>
        <w:rPr>
          <w:rFonts w:ascii="Arial" w:hAnsi="Arial" w:cs="Arial"/>
          <w:bCs/>
          <w:sz w:val="24"/>
          <w:szCs w:val="24"/>
        </w:rPr>
        <w:t>greater</w:t>
      </w:r>
      <w:r w:rsidRPr="00471CBA">
        <w:rPr>
          <w:rFonts w:ascii="Arial" w:hAnsi="Arial" w:cs="Arial"/>
          <w:bCs/>
          <w:sz w:val="24"/>
          <w:szCs w:val="24"/>
        </w:rPr>
        <w:t xml:space="preserve"> than 4%.</w:t>
      </w:r>
    </w:p>
    <w:p w14:paraId="255899C9" w14:textId="77777777" w:rsidR="00002375" w:rsidRDefault="00002375" w:rsidP="00002375">
      <w:pPr>
        <w:rPr>
          <w:rFonts w:ascii="Arial" w:hAnsi="Arial" w:cs="Arial"/>
          <w:bCs/>
          <w:sz w:val="24"/>
          <w:szCs w:val="24"/>
        </w:rPr>
      </w:pPr>
      <w:r>
        <w:rPr>
          <w:rFonts w:ascii="Arial" w:hAnsi="Arial" w:cs="Arial"/>
          <w:bCs/>
          <w:sz w:val="24"/>
          <w:szCs w:val="24"/>
        </w:rPr>
        <w:t>Question(s):</w:t>
      </w:r>
    </w:p>
    <w:p w14:paraId="3F22234B" w14:textId="3173181A" w:rsidR="00002375" w:rsidRPr="00952320" w:rsidRDefault="006F28BF" w:rsidP="00001518">
      <w:pPr>
        <w:pStyle w:val="ListParagraph"/>
        <w:numPr>
          <w:ilvl w:val="0"/>
          <w:numId w:val="6"/>
        </w:numPr>
        <w:rPr>
          <w:rFonts w:ascii="Arial" w:hAnsi="Arial" w:cs="Arial"/>
          <w:bCs/>
          <w:sz w:val="24"/>
          <w:szCs w:val="24"/>
        </w:rPr>
      </w:pPr>
      <w:r>
        <w:rPr>
          <w:rFonts w:ascii="Arial" w:hAnsi="Arial" w:cs="Arial"/>
          <w:bCs/>
          <w:sz w:val="24"/>
          <w:szCs w:val="24"/>
        </w:rPr>
        <w:t>At Tab 10 of the Rate Generator Model, p</w:t>
      </w:r>
      <w:r w:rsidR="00002375" w:rsidRPr="00952320">
        <w:rPr>
          <w:rFonts w:ascii="Arial" w:hAnsi="Arial" w:cs="Arial"/>
          <w:bCs/>
          <w:sz w:val="24"/>
          <w:szCs w:val="24"/>
        </w:rPr>
        <w:t xml:space="preserve">lease </w:t>
      </w:r>
      <w:r w:rsidR="005345A3">
        <w:rPr>
          <w:rFonts w:ascii="Arial" w:hAnsi="Arial" w:cs="Arial"/>
          <w:bCs/>
          <w:sz w:val="24"/>
          <w:szCs w:val="24"/>
        </w:rPr>
        <w:t>explain the reason</w:t>
      </w:r>
      <w:r w:rsidR="00327B53">
        <w:rPr>
          <w:rFonts w:ascii="Arial" w:hAnsi="Arial" w:cs="Arial"/>
          <w:bCs/>
          <w:sz w:val="24"/>
          <w:szCs w:val="24"/>
        </w:rPr>
        <w:t xml:space="preserve"> for the large decline in load </w:t>
      </w:r>
      <w:r w:rsidR="00E00EEF">
        <w:rPr>
          <w:rFonts w:ascii="Arial" w:hAnsi="Arial" w:cs="Arial"/>
          <w:bCs/>
          <w:sz w:val="24"/>
          <w:szCs w:val="24"/>
        </w:rPr>
        <w:t>in</w:t>
      </w:r>
      <w:r w:rsidR="00002375" w:rsidRPr="00952320">
        <w:rPr>
          <w:rFonts w:ascii="Arial" w:hAnsi="Arial" w:cs="Arial"/>
          <w:bCs/>
          <w:sz w:val="24"/>
          <w:szCs w:val="24"/>
        </w:rPr>
        <w:t xml:space="preserve"> </w:t>
      </w:r>
      <w:r w:rsidR="00002375">
        <w:rPr>
          <w:rFonts w:ascii="Arial" w:hAnsi="Arial" w:cs="Arial"/>
          <w:bCs/>
          <w:sz w:val="24"/>
          <w:szCs w:val="24"/>
        </w:rPr>
        <w:t xml:space="preserve">the </w:t>
      </w:r>
      <w:r w:rsidR="00002375" w:rsidRPr="00952320">
        <w:rPr>
          <w:rFonts w:ascii="Arial" w:hAnsi="Arial" w:cs="Arial"/>
          <w:bCs/>
          <w:sz w:val="24"/>
          <w:szCs w:val="24"/>
        </w:rPr>
        <w:t xml:space="preserve">GS 50-4999 kW </w:t>
      </w:r>
      <w:r w:rsidR="00002375">
        <w:rPr>
          <w:rFonts w:ascii="Arial" w:hAnsi="Arial" w:cs="Arial"/>
          <w:bCs/>
          <w:sz w:val="24"/>
          <w:szCs w:val="24"/>
        </w:rPr>
        <w:t xml:space="preserve">class </w:t>
      </w:r>
      <w:r w:rsidR="00450C5E" w:rsidRPr="00952320">
        <w:rPr>
          <w:rFonts w:ascii="Arial" w:hAnsi="Arial" w:cs="Arial"/>
          <w:bCs/>
          <w:sz w:val="24"/>
          <w:szCs w:val="24"/>
        </w:rPr>
        <w:t>from 965,337 kW (</w:t>
      </w:r>
      <w:r w:rsidR="005345A3">
        <w:rPr>
          <w:rFonts w:ascii="Arial" w:hAnsi="Arial" w:cs="Arial"/>
          <w:bCs/>
          <w:sz w:val="24"/>
          <w:szCs w:val="24"/>
        </w:rPr>
        <w:t xml:space="preserve">in </w:t>
      </w:r>
      <w:r w:rsidR="00450C5E" w:rsidRPr="00952320">
        <w:rPr>
          <w:rFonts w:ascii="Arial" w:hAnsi="Arial" w:cs="Arial"/>
          <w:bCs/>
          <w:sz w:val="24"/>
          <w:szCs w:val="24"/>
        </w:rPr>
        <w:t>2018)</w:t>
      </w:r>
      <w:r w:rsidR="00450C5E">
        <w:rPr>
          <w:rFonts w:ascii="Arial" w:hAnsi="Arial" w:cs="Arial"/>
          <w:bCs/>
          <w:sz w:val="24"/>
          <w:szCs w:val="24"/>
        </w:rPr>
        <w:t xml:space="preserve"> </w:t>
      </w:r>
      <w:r w:rsidR="0071493F" w:rsidRPr="00952320">
        <w:rPr>
          <w:rFonts w:ascii="Arial" w:hAnsi="Arial" w:cs="Arial"/>
          <w:bCs/>
          <w:sz w:val="24"/>
          <w:szCs w:val="24"/>
        </w:rPr>
        <w:t>to 128,689 kW (</w:t>
      </w:r>
      <w:r w:rsidR="005345A3">
        <w:rPr>
          <w:rFonts w:ascii="Arial" w:hAnsi="Arial" w:cs="Arial"/>
          <w:bCs/>
          <w:sz w:val="24"/>
          <w:szCs w:val="24"/>
        </w:rPr>
        <w:t xml:space="preserve">in </w:t>
      </w:r>
      <w:r w:rsidR="0071493F" w:rsidRPr="00952320">
        <w:rPr>
          <w:rFonts w:ascii="Arial" w:hAnsi="Arial" w:cs="Arial"/>
          <w:bCs/>
          <w:sz w:val="24"/>
          <w:szCs w:val="24"/>
        </w:rPr>
        <w:t>2019)</w:t>
      </w:r>
      <w:r w:rsidR="00002375" w:rsidRPr="00952320">
        <w:rPr>
          <w:rFonts w:ascii="Arial" w:hAnsi="Arial" w:cs="Arial"/>
          <w:bCs/>
          <w:sz w:val="24"/>
          <w:szCs w:val="24"/>
        </w:rPr>
        <w:t>.</w:t>
      </w:r>
    </w:p>
    <w:p w14:paraId="1BB0CF70" w14:textId="77777777" w:rsidR="00002375" w:rsidRPr="00E00EEF" w:rsidRDefault="00002375" w:rsidP="00E00EEF">
      <w:pPr>
        <w:rPr>
          <w:rFonts w:ascii="Arial" w:hAnsi="Arial" w:cs="Arial"/>
          <w:bCs/>
          <w:sz w:val="24"/>
          <w:szCs w:val="24"/>
        </w:rPr>
      </w:pPr>
    </w:p>
    <w:p w14:paraId="6912B155" w14:textId="7A3F1375" w:rsidR="00002375" w:rsidRPr="00471CBA" w:rsidRDefault="0071493F" w:rsidP="00001518">
      <w:pPr>
        <w:pStyle w:val="ListParagraph"/>
        <w:numPr>
          <w:ilvl w:val="0"/>
          <w:numId w:val="6"/>
        </w:numPr>
        <w:spacing w:after="160"/>
        <w:rPr>
          <w:rFonts w:ascii="Arial" w:hAnsi="Arial" w:cs="Arial"/>
          <w:sz w:val="24"/>
          <w:szCs w:val="24"/>
        </w:rPr>
      </w:pPr>
      <w:r>
        <w:rPr>
          <w:rFonts w:ascii="Arial" w:hAnsi="Arial" w:cs="Arial"/>
          <w:sz w:val="24"/>
          <w:szCs w:val="24"/>
        </w:rPr>
        <w:t xml:space="preserve">At Tab 20 of </w:t>
      </w:r>
      <w:r>
        <w:rPr>
          <w:rFonts w:ascii="Arial" w:hAnsi="Arial" w:cs="Arial"/>
          <w:bCs/>
          <w:sz w:val="24"/>
          <w:szCs w:val="24"/>
        </w:rPr>
        <w:t>the Rate Generator Model,</w:t>
      </w:r>
      <w:r w:rsidRPr="00471CBA">
        <w:rPr>
          <w:rFonts w:ascii="Arial" w:hAnsi="Arial" w:cs="Arial"/>
          <w:sz w:val="24"/>
          <w:szCs w:val="24"/>
        </w:rPr>
        <w:t xml:space="preserve"> </w:t>
      </w:r>
      <w:r>
        <w:rPr>
          <w:rFonts w:ascii="Arial" w:hAnsi="Arial" w:cs="Arial"/>
          <w:sz w:val="24"/>
          <w:szCs w:val="24"/>
        </w:rPr>
        <w:t>p</w:t>
      </w:r>
      <w:r w:rsidR="00002375" w:rsidRPr="00471CBA">
        <w:rPr>
          <w:rFonts w:ascii="Arial" w:hAnsi="Arial" w:cs="Arial"/>
          <w:sz w:val="24"/>
          <w:szCs w:val="24"/>
        </w:rPr>
        <w:t xml:space="preserve">lease </w:t>
      </w:r>
      <w:r w:rsidR="00002375">
        <w:rPr>
          <w:rFonts w:ascii="Arial" w:hAnsi="Arial" w:cs="Arial"/>
          <w:sz w:val="24"/>
          <w:szCs w:val="24"/>
        </w:rPr>
        <w:t xml:space="preserve">explain </w:t>
      </w:r>
      <w:r w:rsidR="00002375" w:rsidRPr="00471CBA">
        <w:rPr>
          <w:rFonts w:ascii="Arial" w:hAnsi="Arial" w:cs="Arial"/>
          <w:sz w:val="24"/>
          <w:szCs w:val="24"/>
        </w:rPr>
        <w:t xml:space="preserve">the </w:t>
      </w:r>
      <w:r w:rsidR="00002375">
        <w:rPr>
          <w:rFonts w:ascii="Arial" w:hAnsi="Arial" w:cs="Arial"/>
          <w:sz w:val="24"/>
          <w:szCs w:val="24"/>
        </w:rPr>
        <w:t xml:space="preserve">key driver(s) </w:t>
      </w:r>
      <w:r w:rsidR="00002375" w:rsidRPr="00471CBA">
        <w:rPr>
          <w:rFonts w:ascii="Arial" w:hAnsi="Arial" w:cs="Arial"/>
          <w:sz w:val="24"/>
          <w:szCs w:val="24"/>
        </w:rPr>
        <w:t xml:space="preserve">for the </w:t>
      </w:r>
      <w:r w:rsidR="00002375">
        <w:rPr>
          <w:rFonts w:ascii="Arial" w:hAnsi="Arial" w:cs="Arial"/>
          <w:sz w:val="24"/>
          <w:szCs w:val="24"/>
        </w:rPr>
        <w:t xml:space="preserve">4% </w:t>
      </w:r>
      <w:r w:rsidR="00002375" w:rsidRPr="00471CBA">
        <w:rPr>
          <w:rFonts w:ascii="Arial" w:hAnsi="Arial" w:cs="Arial"/>
          <w:sz w:val="24"/>
          <w:szCs w:val="24"/>
        </w:rPr>
        <w:t xml:space="preserve">change in RTSR – </w:t>
      </w:r>
      <w:r w:rsidR="00792A06">
        <w:rPr>
          <w:rFonts w:ascii="Arial" w:hAnsi="Arial" w:cs="Arial"/>
          <w:sz w:val="24"/>
          <w:szCs w:val="24"/>
        </w:rPr>
        <w:t xml:space="preserve">Network, and </w:t>
      </w:r>
      <w:r w:rsidR="00002375" w:rsidRPr="00471CBA">
        <w:rPr>
          <w:rFonts w:ascii="Arial" w:hAnsi="Arial" w:cs="Arial"/>
          <w:sz w:val="24"/>
          <w:szCs w:val="24"/>
        </w:rPr>
        <w:t>Connection and/or Line and Transformation Connection</w:t>
      </w:r>
      <w:r w:rsidR="00792A06">
        <w:rPr>
          <w:rFonts w:ascii="Arial" w:hAnsi="Arial" w:cs="Arial"/>
          <w:sz w:val="24"/>
          <w:szCs w:val="24"/>
        </w:rPr>
        <w:t xml:space="preserve"> for </w:t>
      </w:r>
      <w:proofErr w:type="gramStart"/>
      <w:r w:rsidR="00792A06">
        <w:rPr>
          <w:rFonts w:ascii="Arial" w:hAnsi="Arial" w:cs="Arial"/>
          <w:sz w:val="24"/>
          <w:szCs w:val="24"/>
        </w:rPr>
        <w:t>the majority of</w:t>
      </w:r>
      <w:proofErr w:type="gramEnd"/>
      <w:r w:rsidR="00792A06">
        <w:rPr>
          <w:rFonts w:ascii="Arial" w:hAnsi="Arial" w:cs="Arial"/>
          <w:sz w:val="24"/>
          <w:szCs w:val="24"/>
        </w:rPr>
        <w:t xml:space="preserve"> the customer classes</w:t>
      </w:r>
      <w:r w:rsidR="00002375" w:rsidRPr="00471CBA">
        <w:rPr>
          <w:rFonts w:ascii="Arial" w:hAnsi="Arial" w:cs="Arial"/>
          <w:sz w:val="24"/>
          <w:szCs w:val="24"/>
        </w:rPr>
        <w:t xml:space="preserve">. </w:t>
      </w:r>
    </w:p>
    <w:p w14:paraId="699959D7" w14:textId="77777777" w:rsidR="00002375" w:rsidRDefault="00002375" w:rsidP="00814E26">
      <w:pPr>
        <w:rPr>
          <w:rFonts w:ascii="Arial" w:hAnsi="Arial" w:cs="Arial"/>
          <w:bCs/>
          <w:sz w:val="24"/>
          <w:szCs w:val="24"/>
        </w:rPr>
      </w:pPr>
    </w:p>
    <w:p w14:paraId="1F5F303C" w14:textId="77777777" w:rsidR="000D25A0" w:rsidRDefault="000D25A0" w:rsidP="000D25A0">
      <w:pPr>
        <w:pStyle w:val="Heading2"/>
      </w:pPr>
      <w:r>
        <w:t>Staff Question-5</w:t>
      </w:r>
    </w:p>
    <w:p w14:paraId="1772668C" w14:textId="673E86FD" w:rsidR="00990298" w:rsidRPr="000F5CD4" w:rsidRDefault="007B5DD9" w:rsidP="000F5CD4">
      <w:pPr>
        <w:pStyle w:val="NoSpacing"/>
        <w:rPr>
          <w:rFonts w:ascii="Arial" w:hAnsi="Arial" w:cs="Arial"/>
          <w:sz w:val="24"/>
          <w:szCs w:val="24"/>
        </w:rPr>
      </w:pPr>
      <w:r w:rsidRPr="000F5CD4">
        <w:rPr>
          <w:rFonts w:ascii="Arial" w:hAnsi="Arial" w:cs="Arial"/>
          <w:sz w:val="24"/>
          <w:szCs w:val="24"/>
        </w:rPr>
        <w:t>Ref:</w:t>
      </w:r>
      <w:r w:rsidRPr="000F5CD4">
        <w:rPr>
          <w:rFonts w:ascii="Arial" w:hAnsi="Arial" w:cs="Arial"/>
          <w:sz w:val="24"/>
          <w:szCs w:val="24"/>
        </w:rPr>
        <w:tab/>
        <w:t xml:space="preserve">(1) GA </w:t>
      </w:r>
      <w:r w:rsidR="006274A3">
        <w:rPr>
          <w:rFonts w:ascii="Arial" w:hAnsi="Arial" w:cs="Arial"/>
          <w:sz w:val="24"/>
          <w:szCs w:val="24"/>
        </w:rPr>
        <w:t xml:space="preserve">Analysis </w:t>
      </w:r>
      <w:proofErr w:type="spellStart"/>
      <w:r w:rsidR="006274A3">
        <w:rPr>
          <w:rFonts w:ascii="Arial" w:hAnsi="Arial" w:cs="Arial"/>
          <w:sz w:val="24"/>
          <w:szCs w:val="24"/>
        </w:rPr>
        <w:t>W</w:t>
      </w:r>
      <w:r w:rsidRPr="000F5CD4">
        <w:rPr>
          <w:rFonts w:ascii="Arial" w:hAnsi="Arial" w:cs="Arial"/>
          <w:sz w:val="24"/>
          <w:szCs w:val="24"/>
        </w:rPr>
        <w:t>orkform</w:t>
      </w:r>
      <w:proofErr w:type="spellEnd"/>
      <w:r w:rsidRPr="000F5CD4">
        <w:rPr>
          <w:rFonts w:ascii="Arial" w:hAnsi="Arial" w:cs="Arial"/>
          <w:sz w:val="24"/>
          <w:szCs w:val="24"/>
        </w:rPr>
        <w:t xml:space="preserve">, Tabs </w:t>
      </w:r>
      <w:r w:rsidR="000F5CD4">
        <w:rPr>
          <w:rFonts w:ascii="Arial" w:hAnsi="Arial" w:cs="Arial"/>
          <w:sz w:val="24"/>
          <w:szCs w:val="24"/>
        </w:rPr>
        <w:t xml:space="preserve">GA </w:t>
      </w:r>
      <w:r w:rsidRPr="000F5CD4">
        <w:rPr>
          <w:rFonts w:ascii="Arial" w:hAnsi="Arial" w:cs="Arial"/>
          <w:sz w:val="24"/>
          <w:szCs w:val="24"/>
        </w:rPr>
        <w:t>2017, 2018 and 2019</w:t>
      </w:r>
    </w:p>
    <w:p w14:paraId="23C0EDDE" w14:textId="279BBB65" w:rsidR="007B5DD9" w:rsidRPr="000F5CD4" w:rsidRDefault="007B5DD9" w:rsidP="000F5CD4">
      <w:pPr>
        <w:pStyle w:val="NoSpacing"/>
        <w:rPr>
          <w:rFonts w:ascii="Arial" w:hAnsi="Arial" w:cs="Arial"/>
          <w:sz w:val="24"/>
          <w:szCs w:val="24"/>
        </w:rPr>
      </w:pPr>
      <w:r w:rsidRPr="000F5CD4">
        <w:rPr>
          <w:rFonts w:ascii="Arial" w:hAnsi="Arial" w:cs="Arial"/>
          <w:sz w:val="24"/>
          <w:szCs w:val="24"/>
        </w:rPr>
        <w:tab/>
        <w:t xml:space="preserve">(2) </w:t>
      </w:r>
      <w:bookmarkStart w:id="1" w:name="_Hlk62220031"/>
      <w:r w:rsidRPr="000F5CD4">
        <w:rPr>
          <w:rFonts w:ascii="Arial" w:hAnsi="Arial" w:cs="Arial"/>
          <w:sz w:val="24"/>
          <w:szCs w:val="24"/>
        </w:rPr>
        <w:t>Rate Generator Model</w:t>
      </w:r>
      <w:r w:rsidR="00EC6B01">
        <w:rPr>
          <w:rFonts w:ascii="Arial" w:hAnsi="Arial" w:cs="Arial"/>
          <w:sz w:val="24"/>
          <w:szCs w:val="24"/>
        </w:rPr>
        <w:t>,</w:t>
      </w:r>
      <w:r w:rsidR="00EC6B01" w:rsidRPr="00EC6B01">
        <w:rPr>
          <w:rFonts w:ascii="Arial" w:hAnsi="Arial" w:cs="Arial"/>
          <w:sz w:val="24"/>
          <w:szCs w:val="24"/>
        </w:rPr>
        <w:t xml:space="preserve"> </w:t>
      </w:r>
      <w:r w:rsidR="00EC6B01" w:rsidRPr="00F335A1">
        <w:rPr>
          <w:rFonts w:ascii="Arial" w:hAnsi="Arial" w:cs="Arial"/>
          <w:sz w:val="24"/>
          <w:szCs w:val="24"/>
        </w:rPr>
        <w:t xml:space="preserve">dated Jan </w:t>
      </w:r>
      <w:proofErr w:type="gramStart"/>
      <w:r w:rsidR="00EC6B01" w:rsidRPr="00F335A1">
        <w:rPr>
          <w:rFonts w:ascii="Arial" w:hAnsi="Arial" w:cs="Arial"/>
          <w:sz w:val="24"/>
          <w:szCs w:val="24"/>
        </w:rPr>
        <w:t>2</w:t>
      </w:r>
      <w:r w:rsidR="00644305">
        <w:rPr>
          <w:rFonts w:ascii="Arial" w:hAnsi="Arial" w:cs="Arial"/>
          <w:sz w:val="24"/>
          <w:szCs w:val="24"/>
        </w:rPr>
        <w:t>5</w:t>
      </w:r>
      <w:proofErr w:type="gramEnd"/>
      <w:r w:rsidR="00EC6B01" w:rsidRPr="00F335A1">
        <w:rPr>
          <w:rFonts w:ascii="Arial" w:hAnsi="Arial" w:cs="Arial"/>
          <w:sz w:val="24"/>
          <w:szCs w:val="24"/>
        </w:rPr>
        <w:t xml:space="preserve"> 2021</w:t>
      </w:r>
      <w:r w:rsidRPr="000F5CD4">
        <w:rPr>
          <w:rFonts w:ascii="Arial" w:hAnsi="Arial" w:cs="Arial"/>
          <w:sz w:val="24"/>
          <w:szCs w:val="24"/>
        </w:rPr>
        <w:t xml:space="preserve"> – </w:t>
      </w:r>
      <w:bookmarkEnd w:id="1"/>
      <w:r w:rsidRPr="000F5CD4">
        <w:rPr>
          <w:rFonts w:ascii="Arial" w:hAnsi="Arial" w:cs="Arial"/>
          <w:sz w:val="24"/>
          <w:szCs w:val="24"/>
        </w:rPr>
        <w:t>Tabs 6 and 6.1a</w:t>
      </w:r>
    </w:p>
    <w:p w14:paraId="2D184F6D" w14:textId="77777777" w:rsidR="000F5CD4" w:rsidRDefault="000F5CD4" w:rsidP="000F5CD4">
      <w:pPr>
        <w:pStyle w:val="NoSpacing"/>
      </w:pPr>
    </w:p>
    <w:p w14:paraId="4C616228" w14:textId="354EDA45" w:rsidR="007B5DD9" w:rsidRPr="00A24979" w:rsidRDefault="007B5DD9" w:rsidP="007B5DD9">
      <w:pPr>
        <w:rPr>
          <w:rFonts w:ascii="Arial" w:hAnsi="Arial" w:cs="Arial"/>
          <w:bCs/>
          <w:sz w:val="24"/>
          <w:szCs w:val="24"/>
        </w:rPr>
      </w:pPr>
      <w:r w:rsidRPr="000F5CD4">
        <w:rPr>
          <w:rFonts w:ascii="Arial" w:hAnsi="Arial" w:cs="Arial"/>
          <w:bCs/>
          <w:sz w:val="24"/>
          <w:szCs w:val="24"/>
        </w:rPr>
        <w:t>Pream</w:t>
      </w:r>
      <w:r w:rsidRPr="00A24979">
        <w:rPr>
          <w:rFonts w:ascii="Arial" w:hAnsi="Arial" w:cs="Arial"/>
          <w:bCs/>
          <w:sz w:val="24"/>
          <w:szCs w:val="24"/>
        </w:rPr>
        <w:t>ble:</w:t>
      </w:r>
    </w:p>
    <w:p w14:paraId="4BC24475" w14:textId="5CF3700F" w:rsidR="000D25A0" w:rsidRDefault="007B5DD9" w:rsidP="00814E26">
      <w:pPr>
        <w:rPr>
          <w:rFonts w:ascii="Arial" w:hAnsi="Arial" w:cs="Arial"/>
          <w:bCs/>
          <w:sz w:val="24"/>
          <w:szCs w:val="24"/>
        </w:rPr>
      </w:pPr>
      <w:r>
        <w:rPr>
          <w:rFonts w:ascii="Arial" w:hAnsi="Arial" w:cs="Arial"/>
          <w:bCs/>
          <w:sz w:val="24"/>
          <w:szCs w:val="24"/>
        </w:rPr>
        <w:t xml:space="preserve">OEB staff </w:t>
      </w:r>
      <w:r w:rsidR="00B061DB">
        <w:rPr>
          <w:rFonts w:ascii="Arial" w:hAnsi="Arial" w:cs="Arial"/>
          <w:bCs/>
          <w:sz w:val="24"/>
          <w:szCs w:val="24"/>
        </w:rPr>
        <w:t>identified</w:t>
      </w:r>
      <w:r w:rsidR="00F46C08">
        <w:rPr>
          <w:rFonts w:ascii="Arial" w:hAnsi="Arial" w:cs="Arial"/>
          <w:bCs/>
          <w:sz w:val="24"/>
          <w:szCs w:val="24"/>
        </w:rPr>
        <w:t xml:space="preserve"> </w:t>
      </w:r>
      <w:r w:rsidR="00730ED2">
        <w:rPr>
          <w:rFonts w:ascii="Arial" w:hAnsi="Arial" w:cs="Arial"/>
          <w:bCs/>
          <w:sz w:val="24"/>
          <w:szCs w:val="24"/>
        </w:rPr>
        <w:t xml:space="preserve">some discrepancies in </w:t>
      </w:r>
      <w:r w:rsidR="00327B53">
        <w:rPr>
          <w:rFonts w:ascii="Arial" w:hAnsi="Arial" w:cs="Arial"/>
          <w:bCs/>
          <w:sz w:val="24"/>
          <w:szCs w:val="24"/>
        </w:rPr>
        <w:t xml:space="preserve">the </w:t>
      </w:r>
      <w:r>
        <w:rPr>
          <w:rFonts w:ascii="Arial" w:hAnsi="Arial" w:cs="Arial"/>
          <w:bCs/>
          <w:sz w:val="24"/>
          <w:szCs w:val="24"/>
        </w:rPr>
        <w:t>non-RPP class A and B consumption</w:t>
      </w:r>
      <w:r w:rsidR="00DD4529">
        <w:rPr>
          <w:rFonts w:ascii="Arial" w:hAnsi="Arial" w:cs="Arial"/>
          <w:bCs/>
          <w:sz w:val="24"/>
          <w:szCs w:val="24"/>
        </w:rPr>
        <w:t xml:space="preserve"> </w:t>
      </w:r>
      <w:r w:rsidR="00327B53">
        <w:rPr>
          <w:rFonts w:ascii="Arial" w:hAnsi="Arial" w:cs="Arial"/>
          <w:bCs/>
          <w:sz w:val="24"/>
          <w:szCs w:val="24"/>
        </w:rPr>
        <w:t xml:space="preserve">data </w:t>
      </w:r>
      <w:r w:rsidR="00B061DB">
        <w:rPr>
          <w:rFonts w:ascii="Arial" w:hAnsi="Arial" w:cs="Arial"/>
          <w:bCs/>
          <w:sz w:val="24"/>
          <w:szCs w:val="24"/>
        </w:rPr>
        <w:t xml:space="preserve">noted </w:t>
      </w:r>
      <w:r w:rsidR="00F46C08">
        <w:rPr>
          <w:rFonts w:ascii="Arial" w:hAnsi="Arial" w:cs="Arial"/>
          <w:bCs/>
          <w:sz w:val="24"/>
          <w:szCs w:val="24"/>
        </w:rPr>
        <w:t>in</w:t>
      </w:r>
      <w:r w:rsidR="00DD4529">
        <w:rPr>
          <w:rFonts w:ascii="Arial" w:hAnsi="Arial" w:cs="Arial"/>
          <w:bCs/>
          <w:sz w:val="24"/>
          <w:szCs w:val="24"/>
        </w:rPr>
        <w:t xml:space="preserve"> the GA </w:t>
      </w:r>
      <w:r w:rsidR="00730ED2">
        <w:rPr>
          <w:rFonts w:ascii="Arial" w:hAnsi="Arial" w:cs="Arial"/>
          <w:bCs/>
          <w:sz w:val="24"/>
          <w:szCs w:val="24"/>
        </w:rPr>
        <w:t xml:space="preserve">Analysis </w:t>
      </w:r>
      <w:proofErr w:type="spellStart"/>
      <w:r w:rsidR="00730ED2">
        <w:rPr>
          <w:rFonts w:ascii="Arial" w:hAnsi="Arial" w:cs="Arial"/>
          <w:bCs/>
          <w:sz w:val="24"/>
          <w:szCs w:val="24"/>
        </w:rPr>
        <w:t>W</w:t>
      </w:r>
      <w:r w:rsidR="00DD4529">
        <w:rPr>
          <w:rFonts w:ascii="Arial" w:hAnsi="Arial" w:cs="Arial"/>
          <w:bCs/>
          <w:sz w:val="24"/>
          <w:szCs w:val="24"/>
        </w:rPr>
        <w:t>orkform</w:t>
      </w:r>
      <w:proofErr w:type="spellEnd"/>
      <w:r w:rsidR="00DD4529">
        <w:rPr>
          <w:rFonts w:ascii="Arial" w:hAnsi="Arial" w:cs="Arial"/>
          <w:bCs/>
          <w:sz w:val="24"/>
          <w:szCs w:val="24"/>
        </w:rPr>
        <w:t xml:space="preserve"> and Rate Generator Model</w:t>
      </w:r>
      <w:r w:rsidR="00EA5759">
        <w:rPr>
          <w:rFonts w:ascii="Arial" w:hAnsi="Arial" w:cs="Arial"/>
          <w:bCs/>
          <w:sz w:val="24"/>
          <w:szCs w:val="24"/>
        </w:rPr>
        <w:t>:</w:t>
      </w:r>
      <w:r>
        <w:rPr>
          <w:rFonts w:ascii="Arial" w:hAnsi="Arial" w:cs="Arial"/>
          <w:bCs/>
          <w:sz w:val="24"/>
          <w:szCs w:val="24"/>
        </w:rPr>
        <w:t xml:space="preserve"> </w:t>
      </w:r>
    </w:p>
    <w:tbl>
      <w:tblPr>
        <w:tblW w:w="9289" w:type="dxa"/>
        <w:tblLook w:val="04A0" w:firstRow="1" w:lastRow="0" w:firstColumn="1" w:lastColumn="0" w:noHBand="0" w:noVBand="1"/>
      </w:tblPr>
      <w:tblGrid>
        <w:gridCol w:w="3235"/>
        <w:gridCol w:w="900"/>
        <w:gridCol w:w="1620"/>
        <w:gridCol w:w="1800"/>
        <w:gridCol w:w="1734"/>
      </w:tblGrid>
      <w:tr w:rsidR="007B5DD9" w:rsidRPr="007B5DD9" w14:paraId="0E32C0FA" w14:textId="77777777" w:rsidTr="007B5DD9">
        <w:trPr>
          <w:trHeight w:val="117"/>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C0464" w14:textId="3A9A30D2" w:rsidR="007B5DD9" w:rsidRPr="00F46C08" w:rsidRDefault="007B5DD9" w:rsidP="007B5DD9">
            <w:pPr>
              <w:spacing w:after="0" w:line="240" w:lineRule="auto"/>
              <w:rPr>
                <w:rFonts w:ascii="Calibri" w:eastAsia="Times New Roman" w:hAnsi="Calibri" w:cs="Calibri"/>
                <w:b/>
                <w:bCs/>
                <w:color w:val="000000"/>
                <w:lang w:val="en-US"/>
              </w:rPr>
            </w:pPr>
            <w:r w:rsidRPr="00F46C08">
              <w:rPr>
                <w:rFonts w:ascii="Calibri" w:eastAsia="Times New Roman" w:hAnsi="Calibri" w:cs="Calibri"/>
                <w:b/>
                <w:bCs/>
                <w:color w:val="000000"/>
                <w:lang w:val="en-US"/>
              </w:rPr>
              <w:t>Non-RPP Class A consumption</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8011425" w14:textId="77777777" w:rsidR="007B5DD9" w:rsidRPr="00F46C08" w:rsidRDefault="007B5DD9" w:rsidP="007B5DD9">
            <w:pPr>
              <w:spacing w:after="0" w:line="240" w:lineRule="auto"/>
              <w:rPr>
                <w:rFonts w:ascii="Calibri" w:eastAsia="Times New Roman" w:hAnsi="Calibri" w:cs="Calibri"/>
                <w:b/>
                <w:bCs/>
                <w:color w:val="000000"/>
                <w:lang w:val="en-US"/>
              </w:rPr>
            </w:pPr>
            <w:r w:rsidRPr="00F46C08">
              <w:rPr>
                <w:rFonts w:ascii="Calibri" w:eastAsia="Times New Roman" w:hAnsi="Calibri" w:cs="Calibri"/>
                <w:b/>
                <w:bCs/>
                <w:color w:val="000000"/>
                <w:lang w:val="en-US"/>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C6EA289" w14:textId="77777777" w:rsidR="007B5DD9" w:rsidRPr="00F46C08" w:rsidRDefault="007B5DD9" w:rsidP="007B5DD9">
            <w:pPr>
              <w:spacing w:after="0" w:line="240" w:lineRule="auto"/>
              <w:jc w:val="center"/>
              <w:rPr>
                <w:rFonts w:ascii="Calibri" w:eastAsia="Times New Roman" w:hAnsi="Calibri" w:cs="Calibri"/>
                <w:b/>
                <w:bCs/>
                <w:color w:val="000000"/>
                <w:lang w:val="en-US"/>
              </w:rPr>
            </w:pPr>
            <w:r w:rsidRPr="00F46C08">
              <w:rPr>
                <w:rFonts w:ascii="Calibri" w:eastAsia="Times New Roman" w:hAnsi="Calibri" w:cs="Calibri"/>
                <w:b/>
                <w:bCs/>
                <w:color w:val="000000"/>
                <w:lang w:val="en-US"/>
              </w:rPr>
              <w:t>2019</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B5E57EE" w14:textId="77777777" w:rsidR="007B5DD9" w:rsidRPr="00F46C08" w:rsidRDefault="007B5DD9" w:rsidP="007B5DD9">
            <w:pPr>
              <w:spacing w:after="0" w:line="240" w:lineRule="auto"/>
              <w:jc w:val="center"/>
              <w:rPr>
                <w:rFonts w:ascii="Calibri" w:eastAsia="Times New Roman" w:hAnsi="Calibri" w:cs="Calibri"/>
                <w:b/>
                <w:bCs/>
                <w:color w:val="000000"/>
                <w:lang w:val="en-US"/>
              </w:rPr>
            </w:pPr>
            <w:r w:rsidRPr="00F46C08">
              <w:rPr>
                <w:rFonts w:ascii="Calibri" w:eastAsia="Times New Roman" w:hAnsi="Calibri" w:cs="Calibri"/>
                <w:b/>
                <w:bCs/>
                <w:color w:val="000000"/>
                <w:lang w:val="en-US"/>
              </w:rPr>
              <w:t>2018</w:t>
            </w:r>
          </w:p>
        </w:tc>
        <w:tc>
          <w:tcPr>
            <w:tcW w:w="1734" w:type="dxa"/>
            <w:tcBorders>
              <w:top w:val="single" w:sz="4" w:space="0" w:color="auto"/>
              <w:left w:val="nil"/>
              <w:bottom w:val="single" w:sz="4" w:space="0" w:color="auto"/>
              <w:right w:val="single" w:sz="4" w:space="0" w:color="auto"/>
            </w:tcBorders>
            <w:shd w:val="clear" w:color="auto" w:fill="auto"/>
            <w:noWrap/>
            <w:vAlign w:val="bottom"/>
            <w:hideMark/>
          </w:tcPr>
          <w:p w14:paraId="1D603089" w14:textId="77777777" w:rsidR="007B5DD9" w:rsidRPr="00F46C08" w:rsidRDefault="007B5DD9" w:rsidP="007B5DD9">
            <w:pPr>
              <w:spacing w:after="0" w:line="240" w:lineRule="auto"/>
              <w:jc w:val="center"/>
              <w:rPr>
                <w:rFonts w:ascii="Calibri" w:eastAsia="Times New Roman" w:hAnsi="Calibri" w:cs="Calibri"/>
                <w:b/>
                <w:bCs/>
                <w:color w:val="000000"/>
                <w:lang w:val="en-US"/>
              </w:rPr>
            </w:pPr>
            <w:r w:rsidRPr="00F46C08">
              <w:rPr>
                <w:rFonts w:ascii="Calibri" w:eastAsia="Times New Roman" w:hAnsi="Calibri" w:cs="Calibri"/>
                <w:b/>
                <w:bCs/>
                <w:color w:val="000000"/>
                <w:lang w:val="en-US"/>
              </w:rPr>
              <w:t>2017</w:t>
            </w:r>
          </w:p>
        </w:tc>
      </w:tr>
      <w:tr w:rsidR="007B5DD9" w:rsidRPr="007B5DD9" w14:paraId="53259E31" w14:textId="77777777" w:rsidTr="007B5DD9">
        <w:trPr>
          <w:trHeight w:val="117"/>
        </w:trPr>
        <w:tc>
          <w:tcPr>
            <w:tcW w:w="3235" w:type="dxa"/>
            <w:tcBorders>
              <w:top w:val="nil"/>
              <w:left w:val="single" w:sz="4" w:space="0" w:color="auto"/>
              <w:bottom w:val="single" w:sz="4" w:space="0" w:color="auto"/>
              <w:right w:val="single" w:sz="4" w:space="0" w:color="auto"/>
            </w:tcBorders>
            <w:shd w:val="clear" w:color="000000" w:fill="DDEBF7"/>
            <w:noWrap/>
            <w:vAlign w:val="center"/>
            <w:hideMark/>
          </w:tcPr>
          <w:p w14:paraId="4C21FC0E" w14:textId="77777777" w:rsidR="007B5DD9" w:rsidRPr="007B5DD9" w:rsidRDefault="007B5DD9" w:rsidP="007B5DD9">
            <w:pPr>
              <w:spacing w:after="0" w:line="240" w:lineRule="auto"/>
              <w:rPr>
                <w:rFonts w:ascii="Calibri" w:eastAsia="Times New Roman" w:hAnsi="Calibri" w:cs="Calibri"/>
                <w:lang w:val="en-US"/>
              </w:rPr>
            </w:pPr>
            <w:r w:rsidRPr="007B5DD9">
              <w:rPr>
                <w:rFonts w:ascii="Calibri" w:eastAsia="Times New Roman" w:hAnsi="Calibri" w:cs="Calibri"/>
                <w:lang w:val="en-US"/>
              </w:rPr>
              <w:t xml:space="preserve">Non-RPP Class A (GA </w:t>
            </w:r>
            <w:proofErr w:type="spellStart"/>
            <w:r w:rsidRPr="007B5DD9">
              <w:rPr>
                <w:rFonts w:ascii="Calibri" w:eastAsia="Times New Roman" w:hAnsi="Calibri" w:cs="Calibri"/>
                <w:lang w:val="en-US"/>
              </w:rPr>
              <w:t>workform</w:t>
            </w:r>
            <w:proofErr w:type="spellEnd"/>
            <w:r w:rsidRPr="007B5DD9">
              <w:rPr>
                <w:rFonts w:ascii="Calibri" w:eastAsia="Times New Roman" w:hAnsi="Calibri" w:cs="Calibri"/>
                <w:lang w:val="en-US"/>
              </w:rPr>
              <w:t>)</w:t>
            </w:r>
          </w:p>
        </w:tc>
        <w:tc>
          <w:tcPr>
            <w:tcW w:w="900" w:type="dxa"/>
            <w:tcBorders>
              <w:top w:val="nil"/>
              <w:left w:val="nil"/>
              <w:bottom w:val="single" w:sz="4" w:space="0" w:color="auto"/>
              <w:right w:val="single" w:sz="4" w:space="0" w:color="auto"/>
            </w:tcBorders>
            <w:shd w:val="clear" w:color="000000" w:fill="DDEBF7"/>
            <w:noWrap/>
            <w:vAlign w:val="bottom"/>
            <w:hideMark/>
          </w:tcPr>
          <w:p w14:paraId="4ECF78A1" w14:textId="77777777" w:rsidR="007B5DD9" w:rsidRPr="007B5DD9" w:rsidRDefault="007B5DD9" w:rsidP="007B5DD9">
            <w:pPr>
              <w:spacing w:after="0" w:line="240" w:lineRule="auto"/>
              <w:rPr>
                <w:rFonts w:ascii="Calibri" w:eastAsia="Times New Roman" w:hAnsi="Calibri" w:cs="Calibri"/>
                <w:color w:val="000000"/>
                <w:lang w:val="en-US"/>
              </w:rPr>
            </w:pPr>
            <w:r w:rsidRPr="007B5DD9">
              <w:rPr>
                <w:rFonts w:ascii="Calibri" w:eastAsia="Times New Roman" w:hAnsi="Calibri" w:cs="Calibri"/>
                <w:color w:val="000000"/>
                <w:lang w:val="en-US"/>
              </w:rPr>
              <w:t>a</w:t>
            </w:r>
          </w:p>
        </w:tc>
        <w:tc>
          <w:tcPr>
            <w:tcW w:w="1620" w:type="dxa"/>
            <w:tcBorders>
              <w:top w:val="nil"/>
              <w:left w:val="nil"/>
              <w:bottom w:val="single" w:sz="4" w:space="0" w:color="auto"/>
              <w:right w:val="single" w:sz="4" w:space="0" w:color="auto"/>
            </w:tcBorders>
            <w:shd w:val="clear" w:color="000000" w:fill="DDEBF7"/>
            <w:noWrap/>
            <w:vAlign w:val="bottom"/>
            <w:hideMark/>
          </w:tcPr>
          <w:p w14:paraId="0853A6A3" w14:textId="687E8634"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544,777,057</w:t>
            </w:r>
          </w:p>
        </w:tc>
        <w:tc>
          <w:tcPr>
            <w:tcW w:w="1800" w:type="dxa"/>
            <w:tcBorders>
              <w:top w:val="nil"/>
              <w:left w:val="nil"/>
              <w:bottom w:val="single" w:sz="4" w:space="0" w:color="auto"/>
              <w:right w:val="single" w:sz="4" w:space="0" w:color="auto"/>
            </w:tcBorders>
            <w:shd w:val="clear" w:color="000000" w:fill="DDEBF7"/>
            <w:noWrap/>
            <w:vAlign w:val="bottom"/>
            <w:hideMark/>
          </w:tcPr>
          <w:p w14:paraId="0C2C6F25" w14:textId="75E5C0CF"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560,302,675</w:t>
            </w:r>
          </w:p>
        </w:tc>
        <w:tc>
          <w:tcPr>
            <w:tcW w:w="1734" w:type="dxa"/>
            <w:tcBorders>
              <w:top w:val="nil"/>
              <w:left w:val="nil"/>
              <w:bottom w:val="single" w:sz="4" w:space="0" w:color="auto"/>
              <w:right w:val="single" w:sz="4" w:space="0" w:color="auto"/>
            </w:tcBorders>
            <w:shd w:val="clear" w:color="000000" w:fill="DDEBF7"/>
            <w:noWrap/>
            <w:vAlign w:val="bottom"/>
            <w:hideMark/>
          </w:tcPr>
          <w:p w14:paraId="1FB08D33" w14:textId="73F5E6FC"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380,970,588</w:t>
            </w:r>
          </w:p>
        </w:tc>
      </w:tr>
      <w:tr w:rsidR="007B5DD9" w:rsidRPr="007B5DD9" w14:paraId="10181C88" w14:textId="77777777" w:rsidTr="007B5DD9">
        <w:trPr>
          <w:trHeight w:val="117"/>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65328E46" w14:textId="228E2592" w:rsidR="007B5DD9" w:rsidRPr="007B5DD9" w:rsidRDefault="007B5DD9" w:rsidP="007B5DD9">
            <w:pPr>
              <w:spacing w:after="0" w:line="240" w:lineRule="auto"/>
              <w:rPr>
                <w:rFonts w:ascii="Calibri" w:eastAsia="Times New Roman" w:hAnsi="Calibri" w:cs="Calibri"/>
                <w:color w:val="000000"/>
                <w:lang w:val="en-US"/>
              </w:rPr>
            </w:pPr>
            <w:r w:rsidRPr="007B5DD9">
              <w:rPr>
                <w:rFonts w:ascii="Calibri" w:eastAsia="Times New Roman" w:hAnsi="Calibri" w:cs="Calibri"/>
                <w:color w:val="000000"/>
                <w:lang w:val="en-US"/>
              </w:rPr>
              <w:t>Full year Class A customers, Tab 6</w:t>
            </w:r>
          </w:p>
        </w:tc>
        <w:tc>
          <w:tcPr>
            <w:tcW w:w="900" w:type="dxa"/>
            <w:tcBorders>
              <w:top w:val="nil"/>
              <w:left w:val="nil"/>
              <w:bottom w:val="single" w:sz="4" w:space="0" w:color="auto"/>
              <w:right w:val="single" w:sz="4" w:space="0" w:color="auto"/>
            </w:tcBorders>
            <w:shd w:val="clear" w:color="auto" w:fill="auto"/>
            <w:noWrap/>
            <w:vAlign w:val="bottom"/>
            <w:hideMark/>
          </w:tcPr>
          <w:p w14:paraId="5F88F06A" w14:textId="77777777" w:rsidR="007B5DD9" w:rsidRPr="007B5DD9" w:rsidRDefault="007B5DD9" w:rsidP="007B5DD9">
            <w:pPr>
              <w:spacing w:after="0" w:line="240" w:lineRule="auto"/>
              <w:rPr>
                <w:rFonts w:ascii="Calibri" w:eastAsia="Times New Roman" w:hAnsi="Calibri" w:cs="Calibri"/>
                <w:color w:val="000000"/>
                <w:lang w:val="en-US"/>
              </w:rPr>
            </w:pPr>
            <w:r w:rsidRPr="007B5DD9">
              <w:rPr>
                <w:rFonts w:ascii="Calibri" w:eastAsia="Times New Roman" w:hAnsi="Calibri" w:cs="Calibri"/>
                <w:color w:val="000000"/>
                <w:lang w:val="en-US"/>
              </w:rPr>
              <w:t>b</w:t>
            </w:r>
          </w:p>
        </w:tc>
        <w:tc>
          <w:tcPr>
            <w:tcW w:w="1620" w:type="dxa"/>
            <w:tcBorders>
              <w:top w:val="nil"/>
              <w:left w:val="nil"/>
              <w:bottom w:val="single" w:sz="4" w:space="0" w:color="auto"/>
              <w:right w:val="single" w:sz="4" w:space="0" w:color="auto"/>
            </w:tcBorders>
            <w:shd w:val="clear" w:color="auto" w:fill="auto"/>
            <w:noWrap/>
            <w:vAlign w:val="bottom"/>
            <w:hideMark/>
          </w:tcPr>
          <w:p w14:paraId="237BFC4F" w14:textId="3674A42F"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514,220,759</w:t>
            </w:r>
          </w:p>
        </w:tc>
        <w:tc>
          <w:tcPr>
            <w:tcW w:w="1800" w:type="dxa"/>
            <w:tcBorders>
              <w:top w:val="nil"/>
              <w:left w:val="nil"/>
              <w:bottom w:val="single" w:sz="4" w:space="0" w:color="auto"/>
              <w:right w:val="single" w:sz="4" w:space="0" w:color="auto"/>
            </w:tcBorders>
            <w:shd w:val="clear" w:color="auto" w:fill="auto"/>
            <w:noWrap/>
            <w:vAlign w:val="bottom"/>
            <w:hideMark/>
          </w:tcPr>
          <w:p w14:paraId="668B2875" w14:textId="201598BE"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498,497,086</w:t>
            </w:r>
          </w:p>
        </w:tc>
        <w:tc>
          <w:tcPr>
            <w:tcW w:w="1734" w:type="dxa"/>
            <w:tcBorders>
              <w:top w:val="nil"/>
              <w:left w:val="nil"/>
              <w:bottom w:val="single" w:sz="4" w:space="0" w:color="auto"/>
              <w:right w:val="single" w:sz="4" w:space="0" w:color="auto"/>
            </w:tcBorders>
            <w:shd w:val="clear" w:color="auto" w:fill="auto"/>
            <w:noWrap/>
            <w:vAlign w:val="bottom"/>
            <w:hideMark/>
          </w:tcPr>
          <w:p w14:paraId="039BEE78" w14:textId="21F41B37"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217,329,856</w:t>
            </w:r>
          </w:p>
        </w:tc>
      </w:tr>
      <w:tr w:rsidR="007B5DD9" w:rsidRPr="007B5DD9" w14:paraId="276C9545" w14:textId="77777777" w:rsidTr="007B5DD9">
        <w:trPr>
          <w:trHeight w:val="117"/>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080B43F5" w14:textId="1A3EC68E" w:rsidR="007B5DD9" w:rsidRPr="007B5DD9" w:rsidRDefault="007B5DD9" w:rsidP="007B5DD9">
            <w:pPr>
              <w:spacing w:after="0" w:line="240" w:lineRule="auto"/>
              <w:rPr>
                <w:rFonts w:ascii="Calibri" w:eastAsia="Times New Roman" w:hAnsi="Calibri" w:cs="Calibri"/>
                <w:color w:val="000000"/>
                <w:lang w:val="en-US"/>
              </w:rPr>
            </w:pPr>
            <w:r w:rsidRPr="007B5DD9">
              <w:rPr>
                <w:rFonts w:ascii="Calibri" w:eastAsia="Times New Roman" w:hAnsi="Calibri" w:cs="Calibri"/>
                <w:color w:val="000000"/>
                <w:lang w:val="en-US"/>
              </w:rPr>
              <w:t>Partial year Class A</w:t>
            </w:r>
            <w:r w:rsidR="00E00EEF">
              <w:rPr>
                <w:rFonts w:ascii="Calibri" w:eastAsia="Times New Roman" w:hAnsi="Calibri" w:cs="Calibri"/>
                <w:color w:val="000000"/>
                <w:lang w:val="en-US"/>
              </w:rPr>
              <w:t xml:space="preserve"> customers</w:t>
            </w:r>
            <w:r w:rsidRPr="007B5DD9">
              <w:rPr>
                <w:rFonts w:ascii="Calibri" w:eastAsia="Times New Roman" w:hAnsi="Calibri" w:cs="Calibri"/>
                <w:color w:val="000000"/>
                <w:lang w:val="en-US"/>
              </w:rPr>
              <w:t>, Tab 6.1</w:t>
            </w:r>
            <w:r>
              <w:rPr>
                <w:rFonts w:ascii="Calibri" w:eastAsia="Times New Roman" w:hAnsi="Calibri" w:cs="Calibri"/>
                <w:color w:val="000000"/>
                <w:lang w:val="en-US"/>
              </w:rPr>
              <w:t>a</w:t>
            </w:r>
          </w:p>
        </w:tc>
        <w:tc>
          <w:tcPr>
            <w:tcW w:w="900" w:type="dxa"/>
            <w:tcBorders>
              <w:top w:val="nil"/>
              <w:left w:val="nil"/>
              <w:bottom w:val="single" w:sz="4" w:space="0" w:color="auto"/>
              <w:right w:val="single" w:sz="4" w:space="0" w:color="auto"/>
            </w:tcBorders>
            <w:shd w:val="clear" w:color="auto" w:fill="auto"/>
            <w:noWrap/>
            <w:vAlign w:val="bottom"/>
            <w:hideMark/>
          </w:tcPr>
          <w:p w14:paraId="333ACA79" w14:textId="77777777" w:rsidR="007B5DD9" w:rsidRPr="007B5DD9" w:rsidRDefault="007B5DD9" w:rsidP="007B5DD9">
            <w:pPr>
              <w:spacing w:after="0" w:line="240" w:lineRule="auto"/>
              <w:rPr>
                <w:rFonts w:ascii="Calibri" w:eastAsia="Times New Roman" w:hAnsi="Calibri" w:cs="Calibri"/>
                <w:color w:val="000000"/>
                <w:lang w:val="en-US"/>
              </w:rPr>
            </w:pPr>
            <w:r w:rsidRPr="007B5DD9">
              <w:rPr>
                <w:rFonts w:ascii="Calibri" w:eastAsia="Times New Roman" w:hAnsi="Calibri" w:cs="Calibri"/>
                <w:color w:val="000000"/>
                <w:lang w:val="en-US"/>
              </w:rPr>
              <w:t>c</w:t>
            </w:r>
          </w:p>
        </w:tc>
        <w:tc>
          <w:tcPr>
            <w:tcW w:w="1620" w:type="dxa"/>
            <w:tcBorders>
              <w:top w:val="nil"/>
              <w:left w:val="nil"/>
              <w:bottom w:val="single" w:sz="4" w:space="0" w:color="auto"/>
              <w:right w:val="single" w:sz="4" w:space="0" w:color="auto"/>
            </w:tcBorders>
            <w:shd w:val="clear" w:color="auto" w:fill="auto"/>
            <w:noWrap/>
            <w:vAlign w:val="bottom"/>
            <w:hideMark/>
          </w:tcPr>
          <w:p w14:paraId="71764DD5" w14:textId="1493891C"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32,891,622</w:t>
            </w:r>
          </w:p>
        </w:tc>
        <w:tc>
          <w:tcPr>
            <w:tcW w:w="1800" w:type="dxa"/>
            <w:tcBorders>
              <w:top w:val="nil"/>
              <w:left w:val="nil"/>
              <w:bottom w:val="single" w:sz="4" w:space="0" w:color="auto"/>
              <w:right w:val="single" w:sz="4" w:space="0" w:color="auto"/>
            </w:tcBorders>
            <w:shd w:val="clear" w:color="auto" w:fill="auto"/>
            <w:noWrap/>
            <w:vAlign w:val="bottom"/>
            <w:hideMark/>
          </w:tcPr>
          <w:p w14:paraId="6294E853" w14:textId="3C28C0A7"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51,210,806</w:t>
            </w:r>
          </w:p>
        </w:tc>
        <w:tc>
          <w:tcPr>
            <w:tcW w:w="1734" w:type="dxa"/>
            <w:tcBorders>
              <w:top w:val="nil"/>
              <w:left w:val="nil"/>
              <w:bottom w:val="single" w:sz="4" w:space="0" w:color="auto"/>
              <w:right w:val="single" w:sz="4" w:space="0" w:color="auto"/>
            </w:tcBorders>
            <w:shd w:val="clear" w:color="auto" w:fill="auto"/>
            <w:noWrap/>
            <w:vAlign w:val="bottom"/>
            <w:hideMark/>
          </w:tcPr>
          <w:p w14:paraId="05A1B36A" w14:textId="26188CF9"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158,964,812</w:t>
            </w:r>
          </w:p>
        </w:tc>
      </w:tr>
      <w:tr w:rsidR="007B5DD9" w:rsidRPr="007B5DD9" w14:paraId="1E8DCCF3" w14:textId="77777777" w:rsidTr="007B5DD9">
        <w:trPr>
          <w:trHeight w:val="117"/>
        </w:trPr>
        <w:tc>
          <w:tcPr>
            <w:tcW w:w="3235" w:type="dxa"/>
            <w:tcBorders>
              <w:top w:val="nil"/>
              <w:left w:val="single" w:sz="4" w:space="0" w:color="auto"/>
              <w:bottom w:val="single" w:sz="4" w:space="0" w:color="auto"/>
              <w:right w:val="single" w:sz="4" w:space="0" w:color="auto"/>
            </w:tcBorders>
            <w:shd w:val="clear" w:color="000000" w:fill="DDEBF7"/>
            <w:noWrap/>
            <w:vAlign w:val="bottom"/>
            <w:hideMark/>
          </w:tcPr>
          <w:p w14:paraId="0BA72E8B" w14:textId="66041815" w:rsidR="007B5DD9" w:rsidRPr="007B5DD9" w:rsidRDefault="007B5DD9" w:rsidP="007B5DD9">
            <w:pPr>
              <w:spacing w:after="0" w:line="240" w:lineRule="auto"/>
              <w:rPr>
                <w:rFonts w:ascii="Calibri" w:eastAsia="Times New Roman" w:hAnsi="Calibri" w:cs="Calibri"/>
                <w:color w:val="000000"/>
                <w:lang w:val="en-US"/>
              </w:rPr>
            </w:pPr>
            <w:r w:rsidRPr="007B5DD9">
              <w:rPr>
                <w:rFonts w:ascii="Calibri" w:eastAsia="Times New Roman" w:hAnsi="Calibri" w:cs="Calibri"/>
                <w:color w:val="000000"/>
                <w:lang w:val="en-US"/>
              </w:rPr>
              <w:t>Class A consumption</w:t>
            </w:r>
            <w:r>
              <w:rPr>
                <w:rFonts w:ascii="Calibri" w:eastAsia="Times New Roman" w:hAnsi="Calibri" w:cs="Calibri"/>
                <w:color w:val="000000"/>
                <w:lang w:val="en-US"/>
              </w:rPr>
              <w:t xml:space="preserve"> </w:t>
            </w:r>
            <w:r w:rsidRPr="007B5DD9">
              <w:rPr>
                <w:rFonts w:ascii="Calibri" w:eastAsia="Times New Roman" w:hAnsi="Calibri" w:cs="Calibri"/>
                <w:color w:val="000000"/>
                <w:lang w:val="en-US"/>
              </w:rPr>
              <w:t>(RGM)</w:t>
            </w:r>
          </w:p>
        </w:tc>
        <w:tc>
          <w:tcPr>
            <w:tcW w:w="900" w:type="dxa"/>
            <w:tcBorders>
              <w:top w:val="nil"/>
              <w:left w:val="nil"/>
              <w:bottom w:val="single" w:sz="4" w:space="0" w:color="auto"/>
              <w:right w:val="single" w:sz="4" w:space="0" w:color="auto"/>
            </w:tcBorders>
            <w:shd w:val="clear" w:color="000000" w:fill="DDEBF7"/>
            <w:noWrap/>
            <w:vAlign w:val="bottom"/>
            <w:hideMark/>
          </w:tcPr>
          <w:p w14:paraId="27B13FFF" w14:textId="77777777" w:rsidR="007B5DD9" w:rsidRPr="007B5DD9" w:rsidRDefault="007B5DD9" w:rsidP="007B5DD9">
            <w:pPr>
              <w:spacing w:after="0" w:line="240" w:lineRule="auto"/>
              <w:rPr>
                <w:rFonts w:ascii="Calibri" w:eastAsia="Times New Roman" w:hAnsi="Calibri" w:cs="Calibri"/>
                <w:color w:val="000000"/>
                <w:lang w:val="en-US"/>
              </w:rPr>
            </w:pPr>
            <w:r w:rsidRPr="007B5DD9">
              <w:rPr>
                <w:rFonts w:ascii="Calibri" w:eastAsia="Times New Roman" w:hAnsi="Calibri" w:cs="Calibri"/>
                <w:color w:val="000000"/>
                <w:lang w:val="en-US"/>
              </w:rPr>
              <w:t xml:space="preserve">d = </w:t>
            </w:r>
            <w:proofErr w:type="spellStart"/>
            <w:r w:rsidRPr="007B5DD9">
              <w:rPr>
                <w:rFonts w:ascii="Calibri" w:eastAsia="Times New Roman" w:hAnsi="Calibri" w:cs="Calibri"/>
                <w:color w:val="000000"/>
                <w:lang w:val="en-US"/>
              </w:rPr>
              <w:t>b+c</w:t>
            </w:r>
            <w:proofErr w:type="spellEnd"/>
          </w:p>
        </w:tc>
        <w:tc>
          <w:tcPr>
            <w:tcW w:w="1620" w:type="dxa"/>
            <w:tcBorders>
              <w:top w:val="nil"/>
              <w:left w:val="nil"/>
              <w:bottom w:val="single" w:sz="4" w:space="0" w:color="auto"/>
              <w:right w:val="single" w:sz="4" w:space="0" w:color="auto"/>
            </w:tcBorders>
            <w:shd w:val="clear" w:color="000000" w:fill="DDEBF7"/>
            <w:noWrap/>
            <w:vAlign w:val="bottom"/>
            <w:hideMark/>
          </w:tcPr>
          <w:p w14:paraId="55F0E7A3" w14:textId="690D52DB"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547,112,381</w:t>
            </w:r>
          </w:p>
        </w:tc>
        <w:tc>
          <w:tcPr>
            <w:tcW w:w="1800" w:type="dxa"/>
            <w:tcBorders>
              <w:top w:val="nil"/>
              <w:left w:val="nil"/>
              <w:bottom w:val="single" w:sz="4" w:space="0" w:color="auto"/>
              <w:right w:val="single" w:sz="4" w:space="0" w:color="auto"/>
            </w:tcBorders>
            <w:shd w:val="clear" w:color="000000" w:fill="DDEBF7"/>
            <w:noWrap/>
            <w:vAlign w:val="bottom"/>
            <w:hideMark/>
          </w:tcPr>
          <w:p w14:paraId="15F3356E" w14:textId="420330FE"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549,707,892</w:t>
            </w:r>
          </w:p>
        </w:tc>
        <w:tc>
          <w:tcPr>
            <w:tcW w:w="1734" w:type="dxa"/>
            <w:tcBorders>
              <w:top w:val="nil"/>
              <w:left w:val="nil"/>
              <w:bottom w:val="single" w:sz="4" w:space="0" w:color="auto"/>
              <w:right w:val="single" w:sz="4" w:space="0" w:color="auto"/>
            </w:tcBorders>
            <w:shd w:val="clear" w:color="000000" w:fill="DDEBF7"/>
            <w:noWrap/>
            <w:vAlign w:val="bottom"/>
            <w:hideMark/>
          </w:tcPr>
          <w:p w14:paraId="2E556EF1" w14:textId="0AA7376D"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376,294,668</w:t>
            </w:r>
          </w:p>
        </w:tc>
      </w:tr>
      <w:tr w:rsidR="007B5DD9" w:rsidRPr="007B5DD9" w14:paraId="4F6B7421" w14:textId="77777777" w:rsidTr="007B5DD9">
        <w:trPr>
          <w:trHeight w:val="117"/>
        </w:trPr>
        <w:tc>
          <w:tcPr>
            <w:tcW w:w="3235" w:type="dxa"/>
            <w:tcBorders>
              <w:top w:val="nil"/>
              <w:left w:val="single" w:sz="4" w:space="0" w:color="auto"/>
              <w:bottom w:val="single" w:sz="4" w:space="0" w:color="auto"/>
              <w:right w:val="single" w:sz="4" w:space="0" w:color="auto"/>
            </w:tcBorders>
            <w:shd w:val="clear" w:color="000000" w:fill="FFF2CC"/>
            <w:noWrap/>
            <w:vAlign w:val="bottom"/>
            <w:hideMark/>
          </w:tcPr>
          <w:p w14:paraId="40FC3F00" w14:textId="14B475D4" w:rsidR="007B5DD9" w:rsidRPr="007B5DD9" w:rsidRDefault="007B5DD9" w:rsidP="007B5DD9">
            <w:pPr>
              <w:spacing w:after="0" w:line="240" w:lineRule="auto"/>
              <w:rPr>
                <w:rFonts w:ascii="Calibri" w:eastAsia="Times New Roman" w:hAnsi="Calibri" w:cs="Calibri"/>
                <w:color w:val="000000"/>
                <w:lang w:val="en-US"/>
              </w:rPr>
            </w:pPr>
            <w:r w:rsidRPr="007B5DD9">
              <w:rPr>
                <w:rFonts w:ascii="Calibri" w:eastAsia="Times New Roman" w:hAnsi="Calibri" w:cs="Calibri"/>
                <w:color w:val="000000"/>
                <w:lang w:val="en-US"/>
              </w:rPr>
              <w:t>Difference (kWh)</w:t>
            </w:r>
            <w:r w:rsidR="0032306A">
              <w:rPr>
                <w:rFonts w:ascii="Calibri" w:eastAsia="Times New Roman" w:hAnsi="Calibri" w:cs="Calibri"/>
                <w:color w:val="000000"/>
                <w:lang w:val="en-US"/>
              </w:rPr>
              <w:t xml:space="preserve"> </w:t>
            </w:r>
            <w:r w:rsidR="0032306A" w:rsidRPr="0032306A">
              <w:rPr>
                <w:rFonts w:ascii="Calibri" w:eastAsia="Times New Roman" w:hAnsi="Calibri" w:cs="Calibri"/>
                <w:b/>
                <w:bCs/>
                <w:color w:val="000000"/>
                <w:lang w:val="en-US"/>
              </w:rPr>
              <w:t>– Line 1</w:t>
            </w:r>
          </w:p>
        </w:tc>
        <w:tc>
          <w:tcPr>
            <w:tcW w:w="900" w:type="dxa"/>
            <w:tcBorders>
              <w:top w:val="nil"/>
              <w:left w:val="nil"/>
              <w:bottom w:val="single" w:sz="4" w:space="0" w:color="auto"/>
              <w:right w:val="single" w:sz="4" w:space="0" w:color="auto"/>
            </w:tcBorders>
            <w:shd w:val="clear" w:color="000000" w:fill="FFF2CC"/>
            <w:noWrap/>
            <w:vAlign w:val="bottom"/>
            <w:hideMark/>
          </w:tcPr>
          <w:p w14:paraId="2809A9BC" w14:textId="77777777" w:rsidR="007B5DD9" w:rsidRPr="007B5DD9" w:rsidRDefault="007B5DD9" w:rsidP="007B5DD9">
            <w:pPr>
              <w:spacing w:after="0" w:line="240" w:lineRule="auto"/>
              <w:rPr>
                <w:rFonts w:ascii="Calibri" w:eastAsia="Times New Roman" w:hAnsi="Calibri" w:cs="Calibri"/>
                <w:color w:val="000000"/>
                <w:lang w:val="en-US"/>
              </w:rPr>
            </w:pPr>
            <w:r w:rsidRPr="007B5DD9">
              <w:rPr>
                <w:rFonts w:ascii="Calibri" w:eastAsia="Times New Roman" w:hAnsi="Calibri" w:cs="Calibri"/>
                <w:color w:val="000000"/>
                <w:lang w:val="en-US"/>
              </w:rPr>
              <w:t>a - d</w:t>
            </w:r>
          </w:p>
        </w:tc>
        <w:tc>
          <w:tcPr>
            <w:tcW w:w="1620" w:type="dxa"/>
            <w:tcBorders>
              <w:top w:val="nil"/>
              <w:left w:val="nil"/>
              <w:bottom w:val="single" w:sz="4" w:space="0" w:color="auto"/>
              <w:right w:val="single" w:sz="4" w:space="0" w:color="auto"/>
            </w:tcBorders>
            <w:shd w:val="clear" w:color="000000" w:fill="FFF2CC"/>
            <w:noWrap/>
            <w:vAlign w:val="bottom"/>
            <w:hideMark/>
          </w:tcPr>
          <w:p w14:paraId="15C156C2" w14:textId="4C060499"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(2,335,325)</w:t>
            </w:r>
          </w:p>
        </w:tc>
        <w:tc>
          <w:tcPr>
            <w:tcW w:w="1800" w:type="dxa"/>
            <w:tcBorders>
              <w:top w:val="nil"/>
              <w:left w:val="nil"/>
              <w:bottom w:val="single" w:sz="4" w:space="0" w:color="auto"/>
              <w:right w:val="single" w:sz="4" w:space="0" w:color="auto"/>
            </w:tcBorders>
            <w:shd w:val="clear" w:color="000000" w:fill="FFF2CC"/>
            <w:noWrap/>
            <w:vAlign w:val="bottom"/>
            <w:hideMark/>
          </w:tcPr>
          <w:p w14:paraId="352A1290" w14:textId="64A9AC06"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10,594,783</w:t>
            </w:r>
          </w:p>
        </w:tc>
        <w:tc>
          <w:tcPr>
            <w:tcW w:w="1734" w:type="dxa"/>
            <w:tcBorders>
              <w:top w:val="nil"/>
              <w:left w:val="nil"/>
              <w:bottom w:val="single" w:sz="4" w:space="0" w:color="auto"/>
              <w:right w:val="single" w:sz="4" w:space="0" w:color="auto"/>
            </w:tcBorders>
            <w:shd w:val="clear" w:color="000000" w:fill="FFF2CC"/>
            <w:noWrap/>
            <w:vAlign w:val="bottom"/>
            <w:hideMark/>
          </w:tcPr>
          <w:p w14:paraId="2A170018" w14:textId="1F272ACB"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4,675,920</w:t>
            </w:r>
          </w:p>
        </w:tc>
      </w:tr>
      <w:tr w:rsidR="007B5DD9" w:rsidRPr="007B5DD9" w14:paraId="4B642B74" w14:textId="77777777" w:rsidTr="007B5DD9">
        <w:trPr>
          <w:trHeight w:val="117"/>
        </w:trPr>
        <w:tc>
          <w:tcPr>
            <w:tcW w:w="3235" w:type="dxa"/>
            <w:tcBorders>
              <w:top w:val="nil"/>
              <w:left w:val="nil"/>
              <w:bottom w:val="nil"/>
              <w:right w:val="nil"/>
            </w:tcBorders>
            <w:shd w:val="clear" w:color="auto" w:fill="auto"/>
            <w:noWrap/>
            <w:vAlign w:val="bottom"/>
            <w:hideMark/>
          </w:tcPr>
          <w:p w14:paraId="685306E7" w14:textId="77777777" w:rsidR="007B5DD9" w:rsidRPr="007B5DD9" w:rsidRDefault="007B5DD9" w:rsidP="007B5DD9">
            <w:pPr>
              <w:spacing w:after="0" w:line="240" w:lineRule="auto"/>
              <w:rPr>
                <w:rFonts w:ascii="Calibri" w:eastAsia="Times New Roman" w:hAnsi="Calibri" w:cs="Calibri"/>
                <w:color w:val="000000"/>
                <w:lang w:val="en-US"/>
              </w:rPr>
            </w:pPr>
          </w:p>
        </w:tc>
        <w:tc>
          <w:tcPr>
            <w:tcW w:w="900" w:type="dxa"/>
            <w:tcBorders>
              <w:top w:val="nil"/>
              <w:left w:val="nil"/>
              <w:bottom w:val="nil"/>
              <w:right w:val="nil"/>
            </w:tcBorders>
            <w:shd w:val="clear" w:color="auto" w:fill="auto"/>
            <w:noWrap/>
            <w:vAlign w:val="bottom"/>
            <w:hideMark/>
          </w:tcPr>
          <w:p w14:paraId="543CC1DB" w14:textId="77777777" w:rsidR="007B5DD9" w:rsidRPr="007B5DD9" w:rsidRDefault="007B5DD9" w:rsidP="007B5DD9">
            <w:pPr>
              <w:spacing w:after="0" w:line="240" w:lineRule="auto"/>
              <w:rPr>
                <w:rFonts w:ascii="Times New Roman" w:eastAsia="Times New Roman" w:hAnsi="Times New Roman" w:cs="Times New Roman"/>
                <w:sz w:val="20"/>
                <w:szCs w:val="20"/>
                <w:lang w:val="en-US"/>
              </w:rPr>
            </w:pPr>
          </w:p>
        </w:tc>
        <w:tc>
          <w:tcPr>
            <w:tcW w:w="1620" w:type="dxa"/>
            <w:tcBorders>
              <w:top w:val="nil"/>
              <w:left w:val="nil"/>
              <w:bottom w:val="nil"/>
              <w:right w:val="nil"/>
            </w:tcBorders>
            <w:shd w:val="clear" w:color="auto" w:fill="auto"/>
            <w:noWrap/>
            <w:vAlign w:val="bottom"/>
            <w:hideMark/>
          </w:tcPr>
          <w:p w14:paraId="39E5C4A7" w14:textId="77777777" w:rsidR="007B5DD9" w:rsidRPr="007B5DD9" w:rsidRDefault="007B5DD9" w:rsidP="007B5DD9">
            <w:pPr>
              <w:spacing w:after="0" w:line="240" w:lineRule="auto"/>
              <w:jc w:val="center"/>
              <w:rPr>
                <w:rFonts w:ascii="Times New Roman" w:eastAsia="Times New Roman" w:hAnsi="Times New Roman" w:cs="Times New Roman"/>
                <w:sz w:val="20"/>
                <w:szCs w:val="20"/>
                <w:lang w:val="en-US"/>
              </w:rPr>
            </w:pPr>
          </w:p>
        </w:tc>
        <w:tc>
          <w:tcPr>
            <w:tcW w:w="1800" w:type="dxa"/>
            <w:tcBorders>
              <w:top w:val="nil"/>
              <w:left w:val="nil"/>
              <w:bottom w:val="nil"/>
              <w:right w:val="nil"/>
            </w:tcBorders>
            <w:shd w:val="clear" w:color="auto" w:fill="auto"/>
            <w:noWrap/>
            <w:vAlign w:val="bottom"/>
            <w:hideMark/>
          </w:tcPr>
          <w:p w14:paraId="3EB60931" w14:textId="77777777" w:rsidR="007B5DD9" w:rsidRPr="007B5DD9" w:rsidRDefault="007B5DD9" w:rsidP="007B5DD9">
            <w:pPr>
              <w:spacing w:after="0" w:line="240" w:lineRule="auto"/>
              <w:jc w:val="center"/>
              <w:rPr>
                <w:rFonts w:ascii="Times New Roman" w:eastAsia="Times New Roman" w:hAnsi="Times New Roman" w:cs="Times New Roman"/>
                <w:sz w:val="20"/>
                <w:szCs w:val="20"/>
                <w:lang w:val="en-US"/>
              </w:rPr>
            </w:pPr>
          </w:p>
        </w:tc>
        <w:tc>
          <w:tcPr>
            <w:tcW w:w="1734" w:type="dxa"/>
            <w:tcBorders>
              <w:top w:val="nil"/>
              <w:left w:val="nil"/>
              <w:bottom w:val="nil"/>
              <w:right w:val="nil"/>
            </w:tcBorders>
            <w:shd w:val="clear" w:color="auto" w:fill="auto"/>
            <w:noWrap/>
            <w:vAlign w:val="bottom"/>
            <w:hideMark/>
          </w:tcPr>
          <w:p w14:paraId="688B846D" w14:textId="77777777" w:rsidR="007B5DD9" w:rsidRPr="007B5DD9" w:rsidRDefault="007B5DD9" w:rsidP="007B5DD9">
            <w:pPr>
              <w:spacing w:after="0" w:line="240" w:lineRule="auto"/>
              <w:jc w:val="center"/>
              <w:rPr>
                <w:rFonts w:ascii="Times New Roman" w:eastAsia="Times New Roman" w:hAnsi="Times New Roman" w:cs="Times New Roman"/>
                <w:sz w:val="20"/>
                <w:szCs w:val="20"/>
                <w:lang w:val="en-US"/>
              </w:rPr>
            </w:pPr>
          </w:p>
        </w:tc>
      </w:tr>
      <w:tr w:rsidR="007B5DD9" w:rsidRPr="007B5DD9" w14:paraId="0041CEB7" w14:textId="77777777" w:rsidTr="007B5DD9">
        <w:trPr>
          <w:trHeight w:val="117"/>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3E385" w14:textId="21D2C7AF" w:rsidR="007B5DD9" w:rsidRPr="00F46C08" w:rsidRDefault="007B5DD9" w:rsidP="007B5DD9">
            <w:pPr>
              <w:spacing w:after="0" w:line="240" w:lineRule="auto"/>
              <w:rPr>
                <w:rFonts w:ascii="Calibri" w:eastAsia="Times New Roman" w:hAnsi="Calibri" w:cs="Calibri"/>
                <w:b/>
                <w:bCs/>
                <w:color w:val="000000"/>
                <w:lang w:val="en-US"/>
              </w:rPr>
            </w:pPr>
            <w:r w:rsidRPr="00F46C08">
              <w:rPr>
                <w:rFonts w:ascii="Calibri" w:eastAsia="Times New Roman" w:hAnsi="Calibri" w:cs="Calibri"/>
                <w:b/>
                <w:bCs/>
                <w:color w:val="000000"/>
                <w:lang w:val="en-US"/>
              </w:rPr>
              <w:t>Non-RPP Class B consumption</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D9C521D" w14:textId="77777777" w:rsidR="007B5DD9" w:rsidRPr="00F46C08" w:rsidRDefault="007B5DD9" w:rsidP="007B5DD9">
            <w:pPr>
              <w:spacing w:after="0" w:line="240" w:lineRule="auto"/>
              <w:rPr>
                <w:rFonts w:ascii="Calibri" w:eastAsia="Times New Roman" w:hAnsi="Calibri" w:cs="Calibri"/>
                <w:b/>
                <w:bCs/>
                <w:color w:val="000000"/>
                <w:lang w:val="en-US"/>
              </w:rPr>
            </w:pPr>
            <w:r w:rsidRPr="00F46C08">
              <w:rPr>
                <w:rFonts w:ascii="Calibri" w:eastAsia="Times New Roman" w:hAnsi="Calibri" w:cs="Calibri"/>
                <w:b/>
                <w:bCs/>
                <w:color w:val="000000"/>
                <w:lang w:val="en-US"/>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106F27B" w14:textId="77777777" w:rsidR="007B5DD9" w:rsidRPr="00F46C08" w:rsidRDefault="007B5DD9" w:rsidP="007B5DD9">
            <w:pPr>
              <w:spacing w:after="0" w:line="240" w:lineRule="auto"/>
              <w:jc w:val="center"/>
              <w:rPr>
                <w:rFonts w:ascii="Calibri" w:eastAsia="Times New Roman" w:hAnsi="Calibri" w:cs="Calibri"/>
                <w:b/>
                <w:bCs/>
                <w:color w:val="000000"/>
                <w:lang w:val="en-US"/>
              </w:rPr>
            </w:pPr>
            <w:r w:rsidRPr="00F46C08">
              <w:rPr>
                <w:rFonts w:ascii="Calibri" w:eastAsia="Times New Roman" w:hAnsi="Calibri" w:cs="Calibri"/>
                <w:b/>
                <w:bCs/>
                <w:color w:val="000000"/>
                <w:lang w:val="en-US"/>
              </w:rPr>
              <w:t>2019</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291519E" w14:textId="77777777" w:rsidR="007B5DD9" w:rsidRPr="00F46C08" w:rsidRDefault="007B5DD9" w:rsidP="007B5DD9">
            <w:pPr>
              <w:spacing w:after="0" w:line="240" w:lineRule="auto"/>
              <w:jc w:val="center"/>
              <w:rPr>
                <w:rFonts w:ascii="Calibri" w:eastAsia="Times New Roman" w:hAnsi="Calibri" w:cs="Calibri"/>
                <w:b/>
                <w:bCs/>
                <w:color w:val="000000"/>
                <w:lang w:val="en-US"/>
              </w:rPr>
            </w:pPr>
            <w:r w:rsidRPr="00F46C08">
              <w:rPr>
                <w:rFonts w:ascii="Calibri" w:eastAsia="Times New Roman" w:hAnsi="Calibri" w:cs="Calibri"/>
                <w:b/>
                <w:bCs/>
                <w:color w:val="000000"/>
                <w:lang w:val="en-US"/>
              </w:rPr>
              <w:t>2018</w:t>
            </w:r>
          </w:p>
        </w:tc>
        <w:tc>
          <w:tcPr>
            <w:tcW w:w="1734" w:type="dxa"/>
            <w:tcBorders>
              <w:top w:val="single" w:sz="4" w:space="0" w:color="auto"/>
              <w:left w:val="nil"/>
              <w:bottom w:val="single" w:sz="4" w:space="0" w:color="auto"/>
              <w:right w:val="single" w:sz="4" w:space="0" w:color="auto"/>
            </w:tcBorders>
            <w:shd w:val="clear" w:color="auto" w:fill="auto"/>
            <w:noWrap/>
            <w:vAlign w:val="bottom"/>
            <w:hideMark/>
          </w:tcPr>
          <w:p w14:paraId="7BF4FAAE" w14:textId="77777777" w:rsidR="007B5DD9" w:rsidRPr="00F46C08" w:rsidRDefault="007B5DD9" w:rsidP="007B5DD9">
            <w:pPr>
              <w:spacing w:after="0" w:line="240" w:lineRule="auto"/>
              <w:jc w:val="center"/>
              <w:rPr>
                <w:rFonts w:ascii="Calibri" w:eastAsia="Times New Roman" w:hAnsi="Calibri" w:cs="Calibri"/>
                <w:b/>
                <w:bCs/>
                <w:color w:val="000000"/>
                <w:lang w:val="en-US"/>
              </w:rPr>
            </w:pPr>
            <w:r w:rsidRPr="00F46C08">
              <w:rPr>
                <w:rFonts w:ascii="Calibri" w:eastAsia="Times New Roman" w:hAnsi="Calibri" w:cs="Calibri"/>
                <w:b/>
                <w:bCs/>
                <w:color w:val="000000"/>
                <w:lang w:val="en-US"/>
              </w:rPr>
              <w:t>2017</w:t>
            </w:r>
          </w:p>
        </w:tc>
      </w:tr>
      <w:tr w:rsidR="007B5DD9" w:rsidRPr="007B5DD9" w14:paraId="306747BB" w14:textId="77777777" w:rsidTr="007B5DD9">
        <w:trPr>
          <w:trHeight w:val="117"/>
        </w:trPr>
        <w:tc>
          <w:tcPr>
            <w:tcW w:w="3235" w:type="dxa"/>
            <w:tcBorders>
              <w:top w:val="nil"/>
              <w:left w:val="single" w:sz="4" w:space="0" w:color="auto"/>
              <w:bottom w:val="single" w:sz="4" w:space="0" w:color="auto"/>
              <w:right w:val="single" w:sz="4" w:space="0" w:color="auto"/>
            </w:tcBorders>
            <w:shd w:val="clear" w:color="000000" w:fill="DDEBF7"/>
            <w:noWrap/>
            <w:vAlign w:val="bottom"/>
            <w:hideMark/>
          </w:tcPr>
          <w:p w14:paraId="77A3EC5D" w14:textId="77777777" w:rsidR="007B5DD9" w:rsidRPr="007B5DD9" w:rsidRDefault="007B5DD9" w:rsidP="007B5DD9">
            <w:pPr>
              <w:spacing w:after="0" w:line="240" w:lineRule="auto"/>
              <w:rPr>
                <w:rFonts w:ascii="Calibri" w:eastAsia="Times New Roman" w:hAnsi="Calibri" w:cs="Calibri"/>
                <w:color w:val="000000"/>
                <w:lang w:val="en-US"/>
              </w:rPr>
            </w:pPr>
            <w:r w:rsidRPr="007B5DD9">
              <w:rPr>
                <w:rFonts w:ascii="Calibri" w:eastAsia="Times New Roman" w:hAnsi="Calibri" w:cs="Calibri"/>
                <w:color w:val="000000"/>
                <w:lang w:val="en-US"/>
              </w:rPr>
              <w:t xml:space="preserve">Non-RPP Class B (GA </w:t>
            </w:r>
            <w:proofErr w:type="spellStart"/>
            <w:r w:rsidRPr="007B5DD9">
              <w:rPr>
                <w:rFonts w:ascii="Calibri" w:eastAsia="Times New Roman" w:hAnsi="Calibri" w:cs="Calibri"/>
                <w:color w:val="000000"/>
                <w:lang w:val="en-US"/>
              </w:rPr>
              <w:t>workform</w:t>
            </w:r>
            <w:proofErr w:type="spellEnd"/>
            <w:r w:rsidRPr="007B5DD9">
              <w:rPr>
                <w:rFonts w:ascii="Calibri" w:eastAsia="Times New Roman" w:hAnsi="Calibri" w:cs="Calibri"/>
                <w:color w:val="000000"/>
                <w:lang w:val="en-US"/>
              </w:rPr>
              <w:t>)</w:t>
            </w:r>
          </w:p>
        </w:tc>
        <w:tc>
          <w:tcPr>
            <w:tcW w:w="900" w:type="dxa"/>
            <w:tcBorders>
              <w:top w:val="nil"/>
              <w:left w:val="nil"/>
              <w:bottom w:val="single" w:sz="4" w:space="0" w:color="auto"/>
              <w:right w:val="single" w:sz="4" w:space="0" w:color="auto"/>
            </w:tcBorders>
            <w:shd w:val="clear" w:color="000000" w:fill="DDEBF7"/>
            <w:noWrap/>
            <w:vAlign w:val="bottom"/>
            <w:hideMark/>
          </w:tcPr>
          <w:p w14:paraId="66AF9A3B" w14:textId="5DCB9D41" w:rsidR="007B5DD9" w:rsidRPr="007B5DD9" w:rsidRDefault="00671572" w:rsidP="007B5DD9">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e</w:t>
            </w:r>
          </w:p>
        </w:tc>
        <w:tc>
          <w:tcPr>
            <w:tcW w:w="1620" w:type="dxa"/>
            <w:tcBorders>
              <w:top w:val="nil"/>
              <w:left w:val="nil"/>
              <w:bottom w:val="single" w:sz="4" w:space="0" w:color="auto"/>
              <w:right w:val="single" w:sz="4" w:space="0" w:color="auto"/>
            </w:tcBorders>
            <w:shd w:val="clear" w:color="000000" w:fill="DDEBF7"/>
            <w:noWrap/>
            <w:vAlign w:val="bottom"/>
            <w:hideMark/>
          </w:tcPr>
          <w:p w14:paraId="79BCA79E" w14:textId="1B291F2F"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1,005,812,115</w:t>
            </w:r>
          </w:p>
        </w:tc>
        <w:tc>
          <w:tcPr>
            <w:tcW w:w="1800" w:type="dxa"/>
            <w:tcBorders>
              <w:top w:val="nil"/>
              <w:left w:val="nil"/>
              <w:bottom w:val="single" w:sz="4" w:space="0" w:color="auto"/>
              <w:right w:val="single" w:sz="4" w:space="0" w:color="auto"/>
            </w:tcBorders>
            <w:shd w:val="clear" w:color="000000" w:fill="DDEBF7"/>
            <w:noWrap/>
            <w:vAlign w:val="bottom"/>
            <w:hideMark/>
          </w:tcPr>
          <w:p w14:paraId="55773E9A" w14:textId="3368A4F6"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1,047,215,826</w:t>
            </w:r>
          </w:p>
        </w:tc>
        <w:tc>
          <w:tcPr>
            <w:tcW w:w="1734" w:type="dxa"/>
            <w:tcBorders>
              <w:top w:val="nil"/>
              <w:left w:val="nil"/>
              <w:bottom w:val="single" w:sz="4" w:space="0" w:color="auto"/>
              <w:right w:val="single" w:sz="4" w:space="0" w:color="auto"/>
            </w:tcBorders>
            <w:shd w:val="clear" w:color="000000" w:fill="DDEBF7"/>
            <w:noWrap/>
            <w:vAlign w:val="bottom"/>
            <w:hideMark/>
          </w:tcPr>
          <w:p w14:paraId="5AA96A7E" w14:textId="53A86EAC"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1,228,789,380</w:t>
            </w:r>
          </w:p>
        </w:tc>
      </w:tr>
      <w:tr w:rsidR="007B5DD9" w:rsidRPr="007B5DD9" w14:paraId="4E79F16E" w14:textId="77777777" w:rsidTr="007B5DD9">
        <w:trPr>
          <w:trHeight w:val="117"/>
        </w:trPr>
        <w:tc>
          <w:tcPr>
            <w:tcW w:w="3235" w:type="dxa"/>
            <w:tcBorders>
              <w:top w:val="nil"/>
              <w:left w:val="single" w:sz="4" w:space="0" w:color="auto"/>
              <w:bottom w:val="single" w:sz="4" w:space="0" w:color="auto"/>
              <w:right w:val="single" w:sz="4" w:space="0" w:color="auto"/>
            </w:tcBorders>
            <w:shd w:val="clear" w:color="000000" w:fill="DDEBF7"/>
            <w:noWrap/>
            <w:vAlign w:val="bottom"/>
            <w:hideMark/>
          </w:tcPr>
          <w:p w14:paraId="05379040" w14:textId="465AED36" w:rsidR="007B5DD9" w:rsidRPr="007B5DD9" w:rsidRDefault="007B5DD9" w:rsidP="007B5DD9">
            <w:pPr>
              <w:spacing w:after="0" w:line="240" w:lineRule="auto"/>
              <w:rPr>
                <w:rFonts w:ascii="Calibri" w:eastAsia="Times New Roman" w:hAnsi="Calibri" w:cs="Calibri"/>
                <w:color w:val="000000"/>
                <w:lang w:val="en-US"/>
              </w:rPr>
            </w:pPr>
            <w:r w:rsidRPr="007B5DD9">
              <w:rPr>
                <w:rFonts w:ascii="Calibri" w:eastAsia="Times New Roman" w:hAnsi="Calibri" w:cs="Calibri"/>
                <w:color w:val="000000"/>
                <w:lang w:val="en-US"/>
              </w:rPr>
              <w:t>Non-RPP Class B, Tab 6.1</w:t>
            </w:r>
            <w:r>
              <w:rPr>
                <w:rFonts w:ascii="Calibri" w:eastAsia="Times New Roman" w:hAnsi="Calibri" w:cs="Calibri"/>
                <w:color w:val="000000"/>
                <w:lang w:val="en-US"/>
              </w:rPr>
              <w:t>a</w:t>
            </w:r>
          </w:p>
        </w:tc>
        <w:tc>
          <w:tcPr>
            <w:tcW w:w="900" w:type="dxa"/>
            <w:tcBorders>
              <w:top w:val="nil"/>
              <w:left w:val="nil"/>
              <w:bottom w:val="single" w:sz="4" w:space="0" w:color="auto"/>
              <w:right w:val="single" w:sz="4" w:space="0" w:color="auto"/>
            </w:tcBorders>
            <w:shd w:val="clear" w:color="000000" w:fill="DDEBF7"/>
            <w:noWrap/>
            <w:vAlign w:val="bottom"/>
            <w:hideMark/>
          </w:tcPr>
          <w:p w14:paraId="3FA5AD62" w14:textId="6A0DF695" w:rsidR="007B5DD9" w:rsidRPr="007B5DD9" w:rsidRDefault="00671572" w:rsidP="007B5DD9">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f</w:t>
            </w:r>
          </w:p>
        </w:tc>
        <w:tc>
          <w:tcPr>
            <w:tcW w:w="1620" w:type="dxa"/>
            <w:tcBorders>
              <w:top w:val="nil"/>
              <w:left w:val="nil"/>
              <w:bottom w:val="single" w:sz="4" w:space="0" w:color="auto"/>
              <w:right w:val="single" w:sz="4" w:space="0" w:color="auto"/>
            </w:tcBorders>
            <w:shd w:val="clear" w:color="000000" w:fill="DDEBF7"/>
            <w:noWrap/>
            <w:vAlign w:val="bottom"/>
            <w:hideMark/>
          </w:tcPr>
          <w:p w14:paraId="51F9630A" w14:textId="4F3BB57A"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1,003,476,790</w:t>
            </w:r>
          </w:p>
        </w:tc>
        <w:tc>
          <w:tcPr>
            <w:tcW w:w="1800" w:type="dxa"/>
            <w:tcBorders>
              <w:top w:val="nil"/>
              <w:left w:val="nil"/>
              <w:bottom w:val="single" w:sz="4" w:space="0" w:color="auto"/>
              <w:right w:val="single" w:sz="4" w:space="0" w:color="auto"/>
            </w:tcBorders>
            <w:shd w:val="clear" w:color="000000" w:fill="DDEBF7"/>
            <w:noWrap/>
            <w:vAlign w:val="bottom"/>
            <w:hideMark/>
          </w:tcPr>
          <w:p w14:paraId="675959B0" w14:textId="6C3AD32E"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1,057,810,609</w:t>
            </w:r>
          </w:p>
        </w:tc>
        <w:tc>
          <w:tcPr>
            <w:tcW w:w="1734" w:type="dxa"/>
            <w:tcBorders>
              <w:top w:val="nil"/>
              <w:left w:val="nil"/>
              <w:bottom w:val="single" w:sz="4" w:space="0" w:color="auto"/>
              <w:right w:val="single" w:sz="4" w:space="0" w:color="auto"/>
            </w:tcBorders>
            <w:shd w:val="clear" w:color="000000" w:fill="DDEBF7"/>
            <w:noWrap/>
            <w:vAlign w:val="bottom"/>
            <w:hideMark/>
          </w:tcPr>
          <w:p w14:paraId="69D293B8" w14:textId="3AA59CD7"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1,233,465,301</w:t>
            </w:r>
          </w:p>
        </w:tc>
      </w:tr>
      <w:tr w:rsidR="007B5DD9" w:rsidRPr="007B5DD9" w14:paraId="1ECFE1A8" w14:textId="77777777" w:rsidTr="007B5DD9">
        <w:trPr>
          <w:trHeight w:val="117"/>
        </w:trPr>
        <w:tc>
          <w:tcPr>
            <w:tcW w:w="3235" w:type="dxa"/>
            <w:tcBorders>
              <w:top w:val="nil"/>
              <w:left w:val="single" w:sz="4" w:space="0" w:color="auto"/>
              <w:bottom w:val="single" w:sz="4" w:space="0" w:color="auto"/>
              <w:right w:val="single" w:sz="4" w:space="0" w:color="auto"/>
            </w:tcBorders>
            <w:shd w:val="clear" w:color="000000" w:fill="FFF2CC"/>
            <w:noWrap/>
            <w:vAlign w:val="bottom"/>
            <w:hideMark/>
          </w:tcPr>
          <w:p w14:paraId="372FDEE8" w14:textId="13C97E5D" w:rsidR="007B5DD9" w:rsidRPr="007B5DD9" w:rsidRDefault="007B5DD9" w:rsidP="007B5DD9">
            <w:pPr>
              <w:spacing w:after="0" w:line="240" w:lineRule="auto"/>
              <w:rPr>
                <w:rFonts w:ascii="Calibri" w:eastAsia="Times New Roman" w:hAnsi="Calibri" w:cs="Calibri"/>
                <w:color w:val="000000"/>
                <w:lang w:val="en-US"/>
              </w:rPr>
            </w:pPr>
            <w:r w:rsidRPr="007B5DD9">
              <w:rPr>
                <w:rFonts w:ascii="Calibri" w:eastAsia="Times New Roman" w:hAnsi="Calibri" w:cs="Calibri"/>
                <w:color w:val="000000"/>
                <w:lang w:val="en-US"/>
              </w:rPr>
              <w:t>Difference (kWh)</w:t>
            </w:r>
            <w:r w:rsidR="0032306A">
              <w:rPr>
                <w:rFonts w:ascii="Calibri" w:eastAsia="Times New Roman" w:hAnsi="Calibri" w:cs="Calibri"/>
                <w:color w:val="000000"/>
                <w:lang w:val="en-US"/>
              </w:rPr>
              <w:t xml:space="preserve"> </w:t>
            </w:r>
            <w:r w:rsidR="0032306A" w:rsidRPr="0032306A">
              <w:rPr>
                <w:rFonts w:ascii="Calibri" w:eastAsia="Times New Roman" w:hAnsi="Calibri" w:cs="Calibri"/>
                <w:b/>
                <w:bCs/>
                <w:color w:val="000000"/>
                <w:lang w:val="en-US"/>
              </w:rPr>
              <w:t>– Line 2</w:t>
            </w:r>
          </w:p>
        </w:tc>
        <w:tc>
          <w:tcPr>
            <w:tcW w:w="900" w:type="dxa"/>
            <w:tcBorders>
              <w:top w:val="nil"/>
              <w:left w:val="nil"/>
              <w:bottom w:val="single" w:sz="4" w:space="0" w:color="auto"/>
              <w:right w:val="single" w:sz="4" w:space="0" w:color="auto"/>
            </w:tcBorders>
            <w:shd w:val="clear" w:color="000000" w:fill="FFF2CC"/>
            <w:noWrap/>
            <w:vAlign w:val="bottom"/>
            <w:hideMark/>
          </w:tcPr>
          <w:p w14:paraId="42872ADF" w14:textId="0110C141" w:rsidR="007B5DD9" w:rsidRPr="007B5DD9" w:rsidRDefault="00671572" w:rsidP="007B5DD9">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e</w:t>
            </w:r>
            <w:r w:rsidR="007B5DD9" w:rsidRPr="007B5DD9">
              <w:rPr>
                <w:rFonts w:ascii="Calibri" w:eastAsia="Times New Roman" w:hAnsi="Calibri" w:cs="Calibri"/>
                <w:color w:val="000000"/>
                <w:lang w:val="en-US"/>
              </w:rPr>
              <w:t>-</w:t>
            </w:r>
            <w:r>
              <w:rPr>
                <w:rFonts w:ascii="Calibri" w:eastAsia="Times New Roman" w:hAnsi="Calibri" w:cs="Calibri"/>
                <w:color w:val="000000"/>
                <w:lang w:val="en-US"/>
              </w:rPr>
              <w:t>f</w:t>
            </w:r>
          </w:p>
        </w:tc>
        <w:tc>
          <w:tcPr>
            <w:tcW w:w="1620" w:type="dxa"/>
            <w:tcBorders>
              <w:top w:val="nil"/>
              <w:left w:val="nil"/>
              <w:bottom w:val="single" w:sz="4" w:space="0" w:color="auto"/>
              <w:right w:val="single" w:sz="4" w:space="0" w:color="auto"/>
            </w:tcBorders>
            <w:shd w:val="clear" w:color="000000" w:fill="FFF2CC"/>
            <w:noWrap/>
            <w:vAlign w:val="bottom"/>
            <w:hideMark/>
          </w:tcPr>
          <w:p w14:paraId="56847684" w14:textId="5FCB18C4"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2,335,325</w:t>
            </w:r>
          </w:p>
        </w:tc>
        <w:tc>
          <w:tcPr>
            <w:tcW w:w="1800" w:type="dxa"/>
            <w:tcBorders>
              <w:top w:val="nil"/>
              <w:left w:val="nil"/>
              <w:bottom w:val="single" w:sz="4" w:space="0" w:color="auto"/>
              <w:right w:val="single" w:sz="4" w:space="0" w:color="auto"/>
            </w:tcBorders>
            <w:shd w:val="clear" w:color="000000" w:fill="FFF2CC"/>
            <w:noWrap/>
            <w:vAlign w:val="bottom"/>
            <w:hideMark/>
          </w:tcPr>
          <w:p w14:paraId="32C38710" w14:textId="0D81F70A"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(10,594,783)</w:t>
            </w:r>
          </w:p>
        </w:tc>
        <w:tc>
          <w:tcPr>
            <w:tcW w:w="1734" w:type="dxa"/>
            <w:tcBorders>
              <w:top w:val="nil"/>
              <w:left w:val="nil"/>
              <w:bottom w:val="single" w:sz="4" w:space="0" w:color="auto"/>
              <w:right w:val="single" w:sz="4" w:space="0" w:color="auto"/>
            </w:tcBorders>
            <w:shd w:val="clear" w:color="000000" w:fill="FFF2CC"/>
            <w:noWrap/>
            <w:vAlign w:val="bottom"/>
            <w:hideMark/>
          </w:tcPr>
          <w:p w14:paraId="122133E0" w14:textId="4DEEFA52" w:rsidR="007B5DD9" w:rsidRPr="007B5DD9" w:rsidRDefault="007B5DD9" w:rsidP="007B5DD9">
            <w:pPr>
              <w:spacing w:after="0" w:line="240" w:lineRule="auto"/>
              <w:jc w:val="center"/>
              <w:rPr>
                <w:rFonts w:ascii="Calibri" w:eastAsia="Times New Roman" w:hAnsi="Calibri" w:cs="Calibri"/>
                <w:color w:val="000000"/>
                <w:lang w:val="en-US"/>
              </w:rPr>
            </w:pPr>
            <w:r w:rsidRPr="007B5DD9">
              <w:rPr>
                <w:rFonts w:ascii="Calibri" w:eastAsia="Times New Roman" w:hAnsi="Calibri" w:cs="Calibri"/>
                <w:color w:val="000000"/>
                <w:lang w:val="en-US"/>
              </w:rPr>
              <w:t>(4,675,921)</w:t>
            </w:r>
          </w:p>
        </w:tc>
      </w:tr>
    </w:tbl>
    <w:p w14:paraId="0DE5B4D1" w14:textId="77777777" w:rsidR="00AE53E3" w:rsidRDefault="00AE53E3" w:rsidP="00AE53E3">
      <w:pPr>
        <w:pStyle w:val="NoSpacing"/>
      </w:pPr>
    </w:p>
    <w:p w14:paraId="39187515" w14:textId="53A8CDA2" w:rsidR="007B5DD9" w:rsidRPr="00040669" w:rsidRDefault="007B5DD9" w:rsidP="007B5DD9">
      <w:pPr>
        <w:rPr>
          <w:rFonts w:ascii="Arial" w:hAnsi="Arial" w:cs="Arial"/>
          <w:bCs/>
          <w:sz w:val="24"/>
          <w:szCs w:val="24"/>
        </w:rPr>
      </w:pPr>
      <w:r w:rsidRPr="00040669">
        <w:rPr>
          <w:rFonts w:ascii="Arial" w:hAnsi="Arial" w:cs="Arial"/>
          <w:bCs/>
          <w:sz w:val="24"/>
          <w:szCs w:val="24"/>
        </w:rPr>
        <w:lastRenderedPageBreak/>
        <w:t>Question(s):</w:t>
      </w:r>
    </w:p>
    <w:p w14:paraId="2B51D35A" w14:textId="388BBA16" w:rsidR="007B5DD9" w:rsidRDefault="007B5DD9" w:rsidP="00001518">
      <w:pPr>
        <w:pStyle w:val="ListParagraph"/>
        <w:numPr>
          <w:ilvl w:val="0"/>
          <w:numId w:val="7"/>
        </w:numPr>
        <w:rPr>
          <w:rFonts w:ascii="Arial" w:hAnsi="Arial" w:cs="Arial"/>
          <w:bCs/>
          <w:sz w:val="24"/>
          <w:szCs w:val="24"/>
        </w:rPr>
      </w:pPr>
      <w:r>
        <w:rPr>
          <w:rFonts w:ascii="Arial" w:hAnsi="Arial" w:cs="Arial"/>
          <w:bCs/>
          <w:sz w:val="24"/>
          <w:szCs w:val="24"/>
        </w:rPr>
        <w:t xml:space="preserve">Please explain why there is a difference in </w:t>
      </w:r>
      <w:r w:rsidR="0032306A">
        <w:rPr>
          <w:rFonts w:ascii="Arial" w:hAnsi="Arial" w:cs="Arial"/>
          <w:bCs/>
          <w:sz w:val="24"/>
          <w:szCs w:val="24"/>
        </w:rPr>
        <w:t xml:space="preserve">the </w:t>
      </w:r>
      <w:r w:rsidR="00730ED2">
        <w:rPr>
          <w:rFonts w:ascii="Arial" w:hAnsi="Arial" w:cs="Arial"/>
          <w:bCs/>
          <w:sz w:val="24"/>
          <w:szCs w:val="24"/>
        </w:rPr>
        <w:t xml:space="preserve">2017, 2018 and 2019 </w:t>
      </w:r>
      <w:r w:rsidR="0032306A">
        <w:rPr>
          <w:rFonts w:ascii="Arial" w:hAnsi="Arial" w:cs="Arial"/>
          <w:bCs/>
          <w:sz w:val="24"/>
          <w:szCs w:val="24"/>
        </w:rPr>
        <w:t xml:space="preserve">kWh </w:t>
      </w:r>
      <w:r>
        <w:rPr>
          <w:rFonts w:ascii="Arial" w:hAnsi="Arial" w:cs="Arial"/>
          <w:bCs/>
          <w:sz w:val="24"/>
          <w:szCs w:val="24"/>
        </w:rPr>
        <w:t xml:space="preserve">consumption for non-RPP class A </w:t>
      </w:r>
      <w:r w:rsidR="0032306A">
        <w:rPr>
          <w:rFonts w:ascii="Arial" w:hAnsi="Arial" w:cs="Arial"/>
          <w:bCs/>
          <w:sz w:val="24"/>
          <w:szCs w:val="24"/>
        </w:rPr>
        <w:t xml:space="preserve">customers (at line 1) </w:t>
      </w:r>
      <w:r>
        <w:rPr>
          <w:rFonts w:ascii="Arial" w:hAnsi="Arial" w:cs="Arial"/>
          <w:bCs/>
          <w:sz w:val="24"/>
          <w:szCs w:val="24"/>
        </w:rPr>
        <w:t>and non-RPP class B customers</w:t>
      </w:r>
      <w:r w:rsidR="0032306A">
        <w:rPr>
          <w:rFonts w:ascii="Arial" w:hAnsi="Arial" w:cs="Arial"/>
          <w:bCs/>
          <w:sz w:val="24"/>
          <w:szCs w:val="24"/>
        </w:rPr>
        <w:t xml:space="preserve"> (at line 2) as</w:t>
      </w:r>
      <w:r>
        <w:rPr>
          <w:rFonts w:ascii="Arial" w:hAnsi="Arial" w:cs="Arial"/>
          <w:bCs/>
          <w:sz w:val="24"/>
          <w:szCs w:val="24"/>
        </w:rPr>
        <w:t xml:space="preserve"> </w:t>
      </w:r>
      <w:r w:rsidR="00730ED2">
        <w:rPr>
          <w:rFonts w:ascii="Arial" w:hAnsi="Arial" w:cs="Arial"/>
          <w:bCs/>
          <w:sz w:val="24"/>
          <w:szCs w:val="24"/>
        </w:rPr>
        <w:t>shown above</w:t>
      </w:r>
      <w:r>
        <w:rPr>
          <w:rFonts w:ascii="Arial" w:hAnsi="Arial" w:cs="Arial"/>
          <w:bCs/>
          <w:sz w:val="24"/>
          <w:szCs w:val="24"/>
        </w:rPr>
        <w:t>.</w:t>
      </w:r>
    </w:p>
    <w:p w14:paraId="52A82FE2" w14:textId="77777777" w:rsidR="007B5DD9" w:rsidRDefault="007B5DD9" w:rsidP="007B5DD9">
      <w:pPr>
        <w:pStyle w:val="ListParagraph"/>
        <w:rPr>
          <w:rFonts w:ascii="Arial" w:hAnsi="Arial" w:cs="Arial"/>
          <w:bCs/>
          <w:sz w:val="24"/>
          <w:szCs w:val="24"/>
        </w:rPr>
      </w:pPr>
    </w:p>
    <w:p w14:paraId="21630BD6" w14:textId="2FBBE6BB" w:rsidR="007B5DD9" w:rsidRPr="00E473E6" w:rsidRDefault="007B5DD9" w:rsidP="00001518">
      <w:pPr>
        <w:pStyle w:val="ListParagraph"/>
        <w:numPr>
          <w:ilvl w:val="0"/>
          <w:numId w:val="7"/>
        </w:numPr>
        <w:rPr>
          <w:rFonts w:ascii="Arial" w:hAnsi="Arial" w:cs="Arial"/>
          <w:bCs/>
          <w:sz w:val="24"/>
          <w:szCs w:val="24"/>
        </w:rPr>
      </w:pPr>
      <w:r>
        <w:rPr>
          <w:rFonts w:ascii="Arial" w:hAnsi="Arial" w:cs="Arial"/>
          <w:bCs/>
          <w:sz w:val="24"/>
          <w:szCs w:val="24"/>
        </w:rPr>
        <w:t xml:space="preserve">Please </w:t>
      </w:r>
      <w:r w:rsidR="00DD4529">
        <w:rPr>
          <w:rFonts w:ascii="Arial" w:hAnsi="Arial" w:cs="Arial"/>
          <w:bCs/>
          <w:sz w:val="24"/>
          <w:szCs w:val="24"/>
        </w:rPr>
        <w:t xml:space="preserve">clarify whether any revisions to either the GA </w:t>
      </w:r>
      <w:r w:rsidR="002C79E2">
        <w:rPr>
          <w:rFonts w:ascii="Arial" w:hAnsi="Arial" w:cs="Arial"/>
          <w:sz w:val="24"/>
          <w:szCs w:val="24"/>
        </w:rPr>
        <w:t xml:space="preserve">Analysis </w:t>
      </w:r>
      <w:proofErr w:type="spellStart"/>
      <w:r w:rsidR="002C79E2">
        <w:rPr>
          <w:rFonts w:ascii="Arial" w:hAnsi="Arial" w:cs="Arial"/>
          <w:bCs/>
          <w:sz w:val="24"/>
          <w:szCs w:val="24"/>
        </w:rPr>
        <w:t>W</w:t>
      </w:r>
      <w:r w:rsidR="00DD4529">
        <w:rPr>
          <w:rFonts w:ascii="Arial" w:hAnsi="Arial" w:cs="Arial"/>
          <w:bCs/>
          <w:sz w:val="24"/>
          <w:szCs w:val="24"/>
        </w:rPr>
        <w:t>orkform</w:t>
      </w:r>
      <w:proofErr w:type="spellEnd"/>
      <w:r w:rsidR="00DD4529">
        <w:rPr>
          <w:rFonts w:ascii="Arial" w:hAnsi="Arial" w:cs="Arial"/>
          <w:bCs/>
          <w:sz w:val="24"/>
          <w:szCs w:val="24"/>
        </w:rPr>
        <w:t xml:space="preserve"> and Rate Generator Model </w:t>
      </w:r>
      <w:r w:rsidR="0032306A">
        <w:rPr>
          <w:rFonts w:ascii="Arial" w:hAnsi="Arial" w:cs="Arial"/>
          <w:bCs/>
          <w:sz w:val="24"/>
          <w:szCs w:val="24"/>
        </w:rPr>
        <w:t xml:space="preserve">are </w:t>
      </w:r>
      <w:r w:rsidR="00CC3022" w:rsidRPr="00E473E6">
        <w:rPr>
          <w:rFonts w:ascii="Arial" w:hAnsi="Arial" w:cs="Arial"/>
          <w:bCs/>
          <w:sz w:val="24"/>
          <w:szCs w:val="24"/>
        </w:rPr>
        <w:t>need</w:t>
      </w:r>
      <w:r w:rsidR="0032306A">
        <w:rPr>
          <w:rFonts w:ascii="Arial" w:hAnsi="Arial" w:cs="Arial"/>
          <w:bCs/>
          <w:sz w:val="24"/>
          <w:szCs w:val="24"/>
        </w:rPr>
        <w:t>ed</w:t>
      </w:r>
      <w:r w:rsidR="00CC3022">
        <w:rPr>
          <w:rFonts w:ascii="Arial" w:hAnsi="Arial" w:cs="Arial"/>
          <w:bCs/>
          <w:sz w:val="24"/>
          <w:szCs w:val="24"/>
        </w:rPr>
        <w:t xml:space="preserve"> </w:t>
      </w:r>
      <w:r w:rsidR="00DD4529">
        <w:rPr>
          <w:rFonts w:ascii="Arial" w:hAnsi="Arial" w:cs="Arial"/>
          <w:bCs/>
          <w:sz w:val="24"/>
          <w:szCs w:val="24"/>
        </w:rPr>
        <w:t>(specifically in Table 3a and 3b in Tab 6)</w:t>
      </w:r>
      <w:r w:rsidR="00DD4529" w:rsidRPr="00E473E6">
        <w:rPr>
          <w:rFonts w:ascii="Arial" w:hAnsi="Arial" w:cs="Arial"/>
          <w:bCs/>
          <w:sz w:val="24"/>
          <w:szCs w:val="24"/>
        </w:rPr>
        <w:t>.</w:t>
      </w:r>
      <w:r w:rsidR="005C0258" w:rsidRPr="00E473E6">
        <w:rPr>
          <w:rFonts w:ascii="Arial" w:hAnsi="Arial" w:cs="Arial"/>
          <w:bCs/>
          <w:sz w:val="24"/>
          <w:szCs w:val="24"/>
        </w:rPr>
        <w:t xml:space="preserve"> If so, please indicate the change(s). </w:t>
      </w:r>
      <w:r w:rsidR="00CE7DAC">
        <w:rPr>
          <w:rFonts w:ascii="Arial" w:hAnsi="Arial" w:cs="Arial"/>
          <w:bCs/>
          <w:sz w:val="24"/>
          <w:szCs w:val="24"/>
        </w:rPr>
        <w:t>If not, please explain.</w:t>
      </w:r>
    </w:p>
    <w:p w14:paraId="34881BB1" w14:textId="77777777" w:rsidR="005C0258" w:rsidRPr="00E473E6" w:rsidRDefault="005C0258" w:rsidP="00AE53E3">
      <w:pPr>
        <w:pStyle w:val="NoSpacing"/>
        <w:rPr>
          <w:sz w:val="24"/>
          <w:szCs w:val="24"/>
        </w:rPr>
      </w:pPr>
    </w:p>
    <w:p w14:paraId="3CFEE0C9" w14:textId="285297D8" w:rsidR="007B5DD9" w:rsidRPr="00E473E6" w:rsidRDefault="007B5DD9" w:rsidP="007B5DD9">
      <w:pPr>
        <w:pStyle w:val="Heading2"/>
        <w:rPr>
          <w:szCs w:val="24"/>
        </w:rPr>
      </w:pPr>
      <w:r w:rsidRPr="00E473E6">
        <w:rPr>
          <w:szCs w:val="24"/>
        </w:rPr>
        <w:t>Staff Question-6</w:t>
      </w:r>
    </w:p>
    <w:p w14:paraId="32380DF7" w14:textId="1DD82B01" w:rsidR="00E473E6" w:rsidRPr="00E473E6" w:rsidRDefault="00E473E6" w:rsidP="00E473E6">
      <w:pPr>
        <w:pStyle w:val="NoSpacing"/>
        <w:spacing w:line="276" w:lineRule="auto"/>
        <w:rPr>
          <w:rFonts w:ascii="Arial" w:hAnsi="Arial" w:cs="Arial"/>
          <w:sz w:val="24"/>
          <w:szCs w:val="24"/>
        </w:rPr>
      </w:pPr>
      <w:r w:rsidRPr="00E473E6">
        <w:rPr>
          <w:rFonts w:ascii="Arial" w:hAnsi="Arial" w:cs="Arial"/>
          <w:sz w:val="24"/>
          <w:szCs w:val="24"/>
        </w:rPr>
        <w:t>Ref:</w:t>
      </w:r>
      <w:r w:rsidRPr="00E473E6">
        <w:rPr>
          <w:rFonts w:ascii="Arial" w:hAnsi="Arial" w:cs="Arial"/>
          <w:sz w:val="24"/>
          <w:szCs w:val="24"/>
        </w:rPr>
        <w:tab/>
        <w:t xml:space="preserve">(1) LRAMVA </w:t>
      </w:r>
      <w:proofErr w:type="spellStart"/>
      <w:r w:rsidRPr="00E473E6">
        <w:rPr>
          <w:rFonts w:ascii="Arial" w:hAnsi="Arial" w:cs="Arial"/>
          <w:sz w:val="24"/>
          <w:szCs w:val="24"/>
        </w:rPr>
        <w:t>Workform</w:t>
      </w:r>
      <w:proofErr w:type="spellEnd"/>
      <w:r w:rsidRPr="00E473E6">
        <w:rPr>
          <w:rFonts w:ascii="Arial" w:hAnsi="Arial" w:cs="Arial"/>
          <w:sz w:val="24"/>
          <w:szCs w:val="24"/>
        </w:rPr>
        <w:t>, Tab 5</w:t>
      </w:r>
    </w:p>
    <w:p w14:paraId="2B7C991E" w14:textId="10096C6B" w:rsidR="00E473E6" w:rsidRPr="00E473E6" w:rsidRDefault="00E473E6" w:rsidP="00E473E6">
      <w:pPr>
        <w:pStyle w:val="NoSpacing"/>
        <w:ind w:left="720"/>
        <w:rPr>
          <w:rFonts w:ascii="Arial" w:hAnsi="Arial" w:cs="Arial"/>
          <w:sz w:val="24"/>
          <w:szCs w:val="24"/>
        </w:rPr>
      </w:pPr>
      <w:r w:rsidRPr="00E473E6">
        <w:rPr>
          <w:rFonts w:ascii="Arial" w:hAnsi="Arial" w:cs="Arial"/>
          <w:sz w:val="24"/>
          <w:szCs w:val="24"/>
        </w:rPr>
        <w:t xml:space="preserve">(2) EB-2016-0091, 2017 Decision and Rate Order, s 3.1.2 of settlement proposal, page 32 of 50 </w:t>
      </w:r>
    </w:p>
    <w:p w14:paraId="448F779A" w14:textId="77777777" w:rsidR="005C2CAE" w:rsidRDefault="005C2CAE" w:rsidP="00E473E6">
      <w:pPr>
        <w:rPr>
          <w:rFonts w:ascii="Arial" w:hAnsi="Arial" w:cs="Arial"/>
          <w:bCs/>
          <w:sz w:val="24"/>
          <w:szCs w:val="24"/>
        </w:rPr>
      </w:pPr>
    </w:p>
    <w:p w14:paraId="3C359ECD" w14:textId="38F90707" w:rsidR="00E473E6" w:rsidRPr="00A24979" w:rsidRDefault="00E473E6" w:rsidP="00E473E6">
      <w:pPr>
        <w:rPr>
          <w:rFonts w:ascii="Arial" w:hAnsi="Arial" w:cs="Arial"/>
          <w:bCs/>
          <w:sz w:val="24"/>
          <w:szCs w:val="24"/>
        </w:rPr>
      </w:pPr>
      <w:bookmarkStart w:id="2" w:name="_Hlk62219591"/>
      <w:r w:rsidRPr="000F5CD4">
        <w:rPr>
          <w:rFonts w:ascii="Arial" w:hAnsi="Arial" w:cs="Arial"/>
          <w:bCs/>
          <w:sz w:val="24"/>
          <w:szCs w:val="24"/>
        </w:rPr>
        <w:t>Pream</w:t>
      </w:r>
      <w:r w:rsidRPr="00A24979">
        <w:rPr>
          <w:rFonts w:ascii="Arial" w:hAnsi="Arial" w:cs="Arial"/>
          <w:bCs/>
          <w:sz w:val="24"/>
          <w:szCs w:val="24"/>
        </w:rPr>
        <w:t>ble:</w:t>
      </w:r>
    </w:p>
    <w:bookmarkEnd w:id="2"/>
    <w:p w14:paraId="0ADAA1F8" w14:textId="60CDCA4A" w:rsidR="00E473E6" w:rsidRPr="00E473E6" w:rsidRDefault="00E473E6" w:rsidP="00E473E6">
      <w:pPr>
        <w:spacing w:after="0"/>
        <w:rPr>
          <w:rFonts w:ascii="Arial" w:hAnsi="Arial" w:cs="Arial"/>
          <w:sz w:val="24"/>
          <w:szCs w:val="24"/>
        </w:rPr>
      </w:pPr>
      <w:r>
        <w:rPr>
          <w:rFonts w:ascii="Arial" w:hAnsi="Arial" w:cs="Arial"/>
          <w:sz w:val="24"/>
          <w:szCs w:val="24"/>
        </w:rPr>
        <w:t xml:space="preserve">At the first reference, London </w:t>
      </w:r>
      <w:r w:rsidRPr="00E473E6">
        <w:rPr>
          <w:rFonts w:ascii="Arial" w:hAnsi="Arial" w:cs="Arial"/>
          <w:sz w:val="24"/>
          <w:szCs w:val="24"/>
        </w:rPr>
        <w:t xml:space="preserve">Hydro </w:t>
      </w:r>
      <w:r w:rsidR="00D116A0">
        <w:rPr>
          <w:rFonts w:ascii="Arial" w:hAnsi="Arial" w:cs="Arial"/>
          <w:sz w:val="24"/>
          <w:szCs w:val="24"/>
        </w:rPr>
        <w:t xml:space="preserve">included </w:t>
      </w:r>
      <w:r w:rsidRPr="00E473E6">
        <w:rPr>
          <w:rFonts w:ascii="Arial" w:hAnsi="Arial" w:cs="Arial"/>
          <w:sz w:val="24"/>
          <w:szCs w:val="24"/>
        </w:rPr>
        <w:t>the persistence of 2011 to 2015 programs in 2017</w:t>
      </w:r>
      <w:r w:rsidR="00D116A0">
        <w:rPr>
          <w:rFonts w:ascii="Arial" w:hAnsi="Arial" w:cs="Arial"/>
          <w:sz w:val="24"/>
          <w:szCs w:val="24"/>
        </w:rPr>
        <w:t xml:space="preserve"> in its LRAMVA </w:t>
      </w:r>
      <w:r w:rsidR="00E5235C">
        <w:rPr>
          <w:rFonts w:ascii="Arial" w:hAnsi="Arial" w:cs="Arial"/>
          <w:sz w:val="24"/>
          <w:szCs w:val="24"/>
        </w:rPr>
        <w:t>balance.</w:t>
      </w:r>
    </w:p>
    <w:p w14:paraId="43E0FF64" w14:textId="77777777" w:rsidR="00E473E6" w:rsidRPr="00E473E6" w:rsidRDefault="00E473E6" w:rsidP="00E473E6">
      <w:pPr>
        <w:spacing w:after="0"/>
        <w:rPr>
          <w:rFonts w:ascii="Arial" w:hAnsi="Arial" w:cs="Arial"/>
          <w:sz w:val="24"/>
          <w:szCs w:val="24"/>
        </w:rPr>
      </w:pPr>
    </w:p>
    <w:p w14:paraId="04255E26" w14:textId="37FB76E2" w:rsidR="00E473E6" w:rsidRPr="00E473E6" w:rsidRDefault="00E473E6" w:rsidP="00E473E6">
      <w:pPr>
        <w:spacing w:after="0"/>
        <w:rPr>
          <w:rFonts w:ascii="Arial" w:eastAsia="Times New Roman" w:hAnsi="Arial" w:cs="Arial"/>
          <w:color w:val="000000"/>
          <w:sz w:val="24"/>
          <w:szCs w:val="24"/>
          <w:lang w:val="en-US"/>
        </w:rPr>
      </w:pPr>
      <w:r w:rsidRPr="00E473E6">
        <w:rPr>
          <w:rFonts w:ascii="Arial" w:hAnsi="Arial" w:cs="Arial"/>
          <w:sz w:val="24"/>
          <w:szCs w:val="24"/>
        </w:rPr>
        <w:t xml:space="preserve">At the second reference, </w:t>
      </w:r>
      <w:r w:rsidR="00905253">
        <w:rPr>
          <w:rFonts w:ascii="Arial" w:hAnsi="Arial" w:cs="Arial"/>
          <w:sz w:val="24"/>
          <w:szCs w:val="24"/>
        </w:rPr>
        <w:t>the approved</w:t>
      </w:r>
      <w:r w:rsidR="00E5235C" w:rsidRPr="00E473E6">
        <w:rPr>
          <w:rFonts w:ascii="Arial" w:hAnsi="Arial" w:cs="Arial"/>
          <w:sz w:val="24"/>
          <w:szCs w:val="24"/>
        </w:rPr>
        <w:t xml:space="preserve"> </w:t>
      </w:r>
      <w:r w:rsidR="00E5235C">
        <w:rPr>
          <w:rFonts w:ascii="Arial" w:hAnsi="Arial" w:cs="Arial"/>
          <w:sz w:val="24"/>
          <w:szCs w:val="24"/>
        </w:rPr>
        <w:t>s</w:t>
      </w:r>
      <w:r w:rsidR="00E5235C" w:rsidRPr="00E473E6">
        <w:rPr>
          <w:rFonts w:ascii="Arial" w:hAnsi="Arial" w:cs="Arial"/>
          <w:sz w:val="24"/>
          <w:szCs w:val="24"/>
        </w:rPr>
        <w:t xml:space="preserve">ettlement </w:t>
      </w:r>
      <w:r w:rsidR="00E5235C">
        <w:rPr>
          <w:rFonts w:ascii="Arial" w:hAnsi="Arial" w:cs="Arial"/>
          <w:sz w:val="24"/>
          <w:szCs w:val="24"/>
        </w:rPr>
        <w:t>p</w:t>
      </w:r>
      <w:r w:rsidR="00E5235C" w:rsidRPr="00E473E6">
        <w:rPr>
          <w:rFonts w:ascii="Arial" w:hAnsi="Arial" w:cs="Arial"/>
          <w:sz w:val="24"/>
          <w:szCs w:val="24"/>
        </w:rPr>
        <w:t xml:space="preserve">roposal </w:t>
      </w:r>
      <w:r w:rsidR="00905253">
        <w:rPr>
          <w:rFonts w:ascii="Arial" w:hAnsi="Arial" w:cs="Arial"/>
          <w:sz w:val="24"/>
          <w:szCs w:val="24"/>
        </w:rPr>
        <w:t xml:space="preserve">indicates </w:t>
      </w:r>
      <w:r w:rsidR="00E5235C">
        <w:rPr>
          <w:rFonts w:ascii="Arial" w:hAnsi="Arial" w:cs="Arial"/>
          <w:sz w:val="24"/>
          <w:szCs w:val="24"/>
        </w:rPr>
        <w:t>that the</w:t>
      </w:r>
      <w:r w:rsidR="00E5235C" w:rsidRPr="00E473E6">
        <w:rPr>
          <w:rFonts w:ascii="Arial" w:hAnsi="Arial" w:cs="Arial"/>
          <w:sz w:val="24"/>
          <w:szCs w:val="24"/>
        </w:rPr>
        <w:t xml:space="preserve"> LRAMVA threshold of </w:t>
      </w:r>
      <w:r w:rsidR="00E5235C" w:rsidRPr="00E473E6">
        <w:rPr>
          <w:rFonts w:ascii="Arial" w:eastAsia="Times New Roman" w:hAnsi="Arial" w:cs="Arial"/>
          <w:color w:val="000000"/>
          <w:sz w:val="24"/>
          <w:szCs w:val="24"/>
          <w:lang w:val="en-US"/>
        </w:rPr>
        <w:t xml:space="preserve">70,113,851 kWh </w:t>
      </w:r>
      <w:r w:rsidR="00E5235C">
        <w:rPr>
          <w:rFonts w:ascii="Arial" w:eastAsia="Times New Roman" w:hAnsi="Arial" w:cs="Arial"/>
          <w:color w:val="000000"/>
          <w:sz w:val="24"/>
          <w:szCs w:val="24"/>
          <w:lang w:val="en-US"/>
        </w:rPr>
        <w:t>was</w:t>
      </w:r>
      <w:r w:rsidR="00E5235C" w:rsidRPr="00E473E6">
        <w:rPr>
          <w:rFonts w:ascii="Arial" w:eastAsia="Times New Roman" w:hAnsi="Arial" w:cs="Arial"/>
          <w:color w:val="000000"/>
          <w:sz w:val="24"/>
          <w:szCs w:val="24"/>
          <w:lang w:val="en-US"/>
        </w:rPr>
        <w:t xml:space="preserve"> </w:t>
      </w:r>
      <w:r w:rsidR="00B443FE">
        <w:rPr>
          <w:rFonts w:ascii="Arial" w:eastAsia="Times New Roman" w:hAnsi="Arial" w:cs="Arial"/>
          <w:color w:val="000000"/>
          <w:sz w:val="24"/>
          <w:szCs w:val="24"/>
          <w:lang w:val="en-US"/>
        </w:rPr>
        <w:t xml:space="preserve">established based on </w:t>
      </w:r>
      <w:r w:rsidR="00E5235C" w:rsidRPr="00E473E6">
        <w:rPr>
          <w:rFonts w:ascii="Arial" w:eastAsia="Times New Roman" w:hAnsi="Arial" w:cs="Arial"/>
          <w:color w:val="000000"/>
          <w:sz w:val="24"/>
          <w:szCs w:val="24"/>
          <w:lang w:val="en-US"/>
        </w:rPr>
        <w:t xml:space="preserve">forecast </w:t>
      </w:r>
      <w:r w:rsidR="00B443FE">
        <w:rPr>
          <w:rFonts w:ascii="Arial" w:eastAsia="Times New Roman" w:hAnsi="Arial" w:cs="Arial"/>
          <w:color w:val="000000"/>
          <w:sz w:val="24"/>
          <w:szCs w:val="24"/>
          <w:lang w:val="en-US"/>
        </w:rPr>
        <w:t xml:space="preserve">conservation </w:t>
      </w:r>
      <w:r w:rsidR="00E5235C" w:rsidRPr="00E473E6">
        <w:rPr>
          <w:rFonts w:ascii="Arial" w:eastAsia="Times New Roman" w:hAnsi="Arial" w:cs="Arial"/>
          <w:color w:val="000000"/>
          <w:sz w:val="24"/>
          <w:szCs w:val="24"/>
          <w:lang w:val="en-US"/>
        </w:rPr>
        <w:t>savings from 2016 and 2017</w:t>
      </w:r>
      <w:r w:rsidRPr="00E473E6">
        <w:rPr>
          <w:rFonts w:ascii="Arial" w:eastAsia="Times New Roman" w:hAnsi="Arial" w:cs="Arial"/>
          <w:color w:val="000000"/>
          <w:sz w:val="24"/>
          <w:szCs w:val="24"/>
          <w:lang w:val="en-US"/>
        </w:rPr>
        <w:t xml:space="preserve">. </w:t>
      </w:r>
    </w:p>
    <w:p w14:paraId="67B6E358" w14:textId="7019FC21" w:rsidR="00E473E6" w:rsidRPr="00E473E6" w:rsidRDefault="00E473E6" w:rsidP="00E473E6">
      <w:pPr>
        <w:spacing w:after="0"/>
        <w:rPr>
          <w:rFonts w:ascii="Arial" w:hAnsi="Arial" w:cs="Arial"/>
          <w:sz w:val="24"/>
          <w:szCs w:val="24"/>
        </w:rPr>
      </w:pPr>
    </w:p>
    <w:p w14:paraId="62D46F5F" w14:textId="77777777" w:rsidR="00E473E6" w:rsidRPr="00E473E6" w:rsidRDefault="00E473E6" w:rsidP="00E473E6">
      <w:pPr>
        <w:rPr>
          <w:rFonts w:ascii="Arial" w:hAnsi="Arial" w:cs="Arial"/>
          <w:bCs/>
          <w:sz w:val="24"/>
          <w:szCs w:val="24"/>
        </w:rPr>
      </w:pPr>
      <w:bookmarkStart w:id="3" w:name="_Hlk62219575"/>
      <w:r w:rsidRPr="00E473E6">
        <w:rPr>
          <w:rFonts w:ascii="Arial" w:hAnsi="Arial" w:cs="Arial"/>
          <w:bCs/>
          <w:sz w:val="24"/>
          <w:szCs w:val="24"/>
        </w:rPr>
        <w:t>Question(s):</w:t>
      </w:r>
    </w:p>
    <w:bookmarkEnd w:id="3"/>
    <w:p w14:paraId="6E3C9470" w14:textId="299C8E51" w:rsidR="00E473E6" w:rsidRDefault="00E473E6" w:rsidP="00001518">
      <w:pPr>
        <w:pStyle w:val="ListParagraph"/>
        <w:numPr>
          <w:ilvl w:val="0"/>
          <w:numId w:val="9"/>
        </w:numPr>
        <w:spacing w:after="160"/>
        <w:rPr>
          <w:rFonts w:ascii="Arial" w:hAnsi="Arial" w:cs="Arial"/>
          <w:sz w:val="24"/>
          <w:szCs w:val="24"/>
        </w:rPr>
      </w:pPr>
      <w:r>
        <w:rPr>
          <w:rFonts w:ascii="Arial" w:hAnsi="Arial" w:cs="Arial"/>
          <w:sz w:val="24"/>
          <w:szCs w:val="24"/>
        </w:rPr>
        <w:t>P</w:t>
      </w:r>
      <w:r w:rsidRPr="0003477A">
        <w:rPr>
          <w:rFonts w:ascii="Arial" w:hAnsi="Arial" w:cs="Arial"/>
          <w:sz w:val="24"/>
          <w:szCs w:val="24"/>
        </w:rPr>
        <w:t xml:space="preserve">lease </w:t>
      </w:r>
      <w:r>
        <w:rPr>
          <w:rFonts w:ascii="Arial" w:hAnsi="Arial" w:cs="Arial"/>
          <w:sz w:val="24"/>
          <w:szCs w:val="24"/>
        </w:rPr>
        <w:t>provide rationale for</w:t>
      </w:r>
      <w:r w:rsidRPr="0003477A">
        <w:rPr>
          <w:rFonts w:ascii="Arial" w:hAnsi="Arial" w:cs="Arial"/>
          <w:sz w:val="24"/>
          <w:szCs w:val="24"/>
        </w:rPr>
        <w:t xml:space="preserve"> claiming persistence of 2011-201</w:t>
      </w:r>
      <w:r>
        <w:rPr>
          <w:rFonts w:ascii="Arial" w:hAnsi="Arial" w:cs="Arial"/>
          <w:sz w:val="24"/>
          <w:szCs w:val="24"/>
        </w:rPr>
        <w:t>5</w:t>
      </w:r>
      <w:r w:rsidRPr="0003477A">
        <w:rPr>
          <w:rFonts w:ascii="Arial" w:hAnsi="Arial" w:cs="Arial"/>
          <w:sz w:val="24"/>
          <w:szCs w:val="24"/>
        </w:rPr>
        <w:t xml:space="preserve"> savings in </w:t>
      </w:r>
      <w:r>
        <w:rPr>
          <w:rFonts w:ascii="Arial" w:hAnsi="Arial" w:cs="Arial"/>
          <w:sz w:val="24"/>
          <w:szCs w:val="24"/>
        </w:rPr>
        <w:t xml:space="preserve">2017, </w:t>
      </w:r>
      <w:proofErr w:type="gramStart"/>
      <w:r>
        <w:rPr>
          <w:rFonts w:ascii="Arial" w:hAnsi="Arial" w:cs="Arial"/>
          <w:sz w:val="24"/>
          <w:szCs w:val="24"/>
        </w:rPr>
        <w:t xml:space="preserve">if </w:t>
      </w:r>
      <w:r w:rsidR="004A179C">
        <w:rPr>
          <w:rFonts w:ascii="Arial" w:hAnsi="Arial" w:cs="Arial"/>
          <w:sz w:val="24"/>
          <w:szCs w:val="24"/>
        </w:rPr>
        <w:t xml:space="preserve"> the</w:t>
      </w:r>
      <w:proofErr w:type="gramEnd"/>
      <w:r w:rsidR="004A179C">
        <w:rPr>
          <w:rFonts w:ascii="Arial" w:hAnsi="Arial" w:cs="Arial"/>
          <w:sz w:val="24"/>
          <w:szCs w:val="24"/>
        </w:rPr>
        <w:t xml:space="preserve"> </w:t>
      </w:r>
      <w:r>
        <w:rPr>
          <w:rFonts w:ascii="Arial" w:hAnsi="Arial" w:cs="Arial"/>
          <w:sz w:val="24"/>
          <w:szCs w:val="24"/>
        </w:rPr>
        <w:t xml:space="preserve">2011 to </w:t>
      </w:r>
      <w:r w:rsidRPr="0003477A">
        <w:rPr>
          <w:rFonts w:ascii="Arial" w:hAnsi="Arial" w:cs="Arial"/>
          <w:sz w:val="24"/>
          <w:szCs w:val="24"/>
        </w:rPr>
        <w:t>201</w:t>
      </w:r>
      <w:r>
        <w:rPr>
          <w:rFonts w:ascii="Arial" w:hAnsi="Arial" w:cs="Arial"/>
          <w:sz w:val="24"/>
          <w:szCs w:val="24"/>
        </w:rPr>
        <w:t>5</w:t>
      </w:r>
      <w:r w:rsidRPr="0003477A">
        <w:rPr>
          <w:rFonts w:ascii="Arial" w:hAnsi="Arial" w:cs="Arial"/>
          <w:sz w:val="24"/>
          <w:szCs w:val="24"/>
        </w:rPr>
        <w:t xml:space="preserve"> </w:t>
      </w:r>
      <w:r>
        <w:rPr>
          <w:rFonts w:ascii="Arial" w:hAnsi="Arial" w:cs="Arial"/>
          <w:sz w:val="24"/>
          <w:szCs w:val="24"/>
        </w:rPr>
        <w:t xml:space="preserve">actual program savings were already </w:t>
      </w:r>
      <w:r w:rsidRPr="0003477A">
        <w:rPr>
          <w:rFonts w:ascii="Arial" w:hAnsi="Arial" w:cs="Arial"/>
          <w:sz w:val="24"/>
          <w:szCs w:val="24"/>
        </w:rPr>
        <w:t>embedded in the 201</w:t>
      </w:r>
      <w:r>
        <w:rPr>
          <w:rFonts w:ascii="Arial" w:hAnsi="Arial" w:cs="Arial"/>
          <w:sz w:val="24"/>
          <w:szCs w:val="24"/>
        </w:rPr>
        <w:t>7</w:t>
      </w:r>
      <w:r w:rsidRPr="0003477A">
        <w:rPr>
          <w:rFonts w:ascii="Arial" w:hAnsi="Arial" w:cs="Arial"/>
          <w:sz w:val="24"/>
          <w:szCs w:val="24"/>
        </w:rPr>
        <w:t xml:space="preserve"> load forecast. </w:t>
      </w:r>
    </w:p>
    <w:p w14:paraId="1D662E4C" w14:textId="77777777" w:rsidR="00182E97" w:rsidRPr="0003477A" w:rsidRDefault="00182E97" w:rsidP="00182E97">
      <w:pPr>
        <w:pStyle w:val="ListParagraph"/>
        <w:spacing w:after="160"/>
        <w:rPr>
          <w:rFonts w:ascii="Arial" w:hAnsi="Arial" w:cs="Arial"/>
          <w:sz w:val="24"/>
          <w:szCs w:val="24"/>
        </w:rPr>
      </w:pPr>
    </w:p>
    <w:p w14:paraId="251774FD" w14:textId="107A5670" w:rsidR="00E473E6" w:rsidRPr="00602B29" w:rsidRDefault="00E473E6" w:rsidP="00001518">
      <w:pPr>
        <w:pStyle w:val="ListParagraph"/>
        <w:numPr>
          <w:ilvl w:val="0"/>
          <w:numId w:val="9"/>
        </w:numPr>
        <w:spacing w:after="160"/>
        <w:rPr>
          <w:rFonts w:ascii="Arial" w:hAnsi="Arial" w:cs="Arial"/>
          <w:sz w:val="24"/>
          <w:szCs w:val="24"/>
        </w:rPr>
      </w:pPr>
      <w:r>
        <w:rPr>
          <w:rFonts w:ascii="Arial" w:hAnsi="Arial" w:cs="Arial"/>
          <w:sz w:val="24"/>
          <w:szCs w:val="24"/>
        </w:rPr>
        <w:t>Please explain whether London Hydro</w:t>
      </w:r>
      <w:r w:rsidRPr="0003477A">
        <w:rPr>
          <w:rFonts w:ascii="Arial" w:hAnsi="Arial" w:cs="Arial"/>
          <w:sz w:val="24"/>
          <w:szCs w:val="24"/>
        </w:rPr>
        <w:t xml:space="preserve"> agrees</w:t>
      </w:r>
      <w:r w:rsidR="004A179C">
        <w:rPr>
          <w:rFonts w:ascii="Arial" w:hAnsi="Arial" w:cs="Arial"/>
          <w:sz w:val="24"/>
          <w:szCs w:val="24"/>
        </w:rPr>
        <w:t xml:space="preserve"> that it is appropriate</w:t>
      </w:r>
      <w:r w:rsidRPr="0003477A">
        <w:rPr>
          <w:rFonts w:ascii="Arial" w:hAnsi="Arial" w:cs="Arial"/>
          <w:sz w:val="24"/>
          <w:szCs w:val="24"/>
        </w:rPr>
        <w:t xml:space="preserve"> to remove the persistence of 2011-201</w:t>
      </w:r>
      <w:r>
        <w:rPr>
          <w:rFonts w:ascii="Arial" w:hAnsi="Arial" w:cs="Arial"/>
          <w:sz w:val="24"/>
          <w:szCs w:val="24"/>
        </w:rPr>
        <w:t>5</w:t>
      </w:r>
      <w:r w:rsidRPr="0003477A">
        <w:rPr>
          <w:rFonts w:ascii="Arial" w:hAnsi="Arial" w:cs="Arial"/>
          <w:sz w:val="24"/>
          <w:szCs w:val="24"/>
        </w:rPr>
        <w:t xml:space="preserve"> savings in 201</w:t>
      </w:r>
      <w:r>
        <w:rPr>
          <w:rFonts w:ascii="Arial" w:hAnsi="Arial" w:cs="Arial"/>
          <w:sz w:val="24"/>
          <w:szCs w:val="24"/>
        </w:rPr>
        <w:t>7. If so</w:t>
      </w:r>
      <w:r w:rsidRPr="0003477A">
        <w:rPr>
          <w:rFonts w:ascii="Arial" w:hAnsi="Arial" w:cs="Arial"/>
          <w:sz w:val="24"/>
          <w:szCs w:val="24"/>
        </w:rPr>
        <w:t>, ple</w:t>
      </w:r>
      <w:r w:rsidRPr="00602B29">
        <w:rPr>
          <w:rFonts w:ascii="Arial" w:hAnsi="Arial" w:cs="Arial"/>
          <w:sz w:val="24"/>
          <w:szCs w:val="24"/>
        </w:rPr>
        <w:t xml:space="preserve">ase </w:t>
      </w:r>
      <w:r>
        <w:rPr>
          <w:rFonts w:ascii="Arial" w:hAnsi="Arial" w:cs="Arial"/>
          <w:sz w:val="24"/>
          <w:szCs w:val="24"/>
        </w:rPr>
        <w:t xml:space="preserve">remove the </w:t>
      </w:r>
      <w:r w:rsidR="00D116A0">
        <w:rPr>
          <w:rFonts w:ascii="Arial" w:hAnsi="Arial" w:cs="Arial"/>
          <w:sz w:val="24"/>
          <w:szCs w:val="24"/>
        </w:rPr>
        <w:t xml:space="preserve">persisting </w:t>
      </w:r>
      <w:r>
        <w:rPr>
          <w:rFonts w:ascii="Arial" w:hAnsi="Arial" w:cs="Arial"/>
          <w:sz w:val="24"/>
          <w:szCs w:val="24"/>
        </w:rPr>
        <w:t xml:space="preserve">lost revenue amounts in the applicable </w:t>
      </w:r>
      <w:r w:rsidRPr="00FF41B0">
        <w:rPr>
          <w:rFonts w:ascii="Arial" w:hAnsi="Arial" w:cs="Arial"/>
          <w:sz w:val="24"/>
          <w:szCs w:val="24"/>
        </w:rPr>
        <w:t xml:space="preserve">rows </w:t>
      </w:r>
      <w:r>
        <w:rPr>
          <w:rFonts w:ascii="Arial" w:hAnsi="Arial" w:cs="Arial"/>
          <w:sz w:val="24"/>
          <w:szCs w:val="24"/>
        </w:rPr>
        <w:t xml:space="preserve">in </w:t>
      </w:r>
      <w:r w:rsidRPr="00602B29">
        <w:rPr>
          <w:rFonts w:ascii="Arial" w:hAnsi="Arial" w:cs="Arial"/>
          <w:sz w:val="24"/>
          <w:szCs w:val="24"/>
        </w:rPr>
        <w:t xml:space="preserve">Tab 5 </w:t>
      </w:r>
      <w:r w:rsidRPr="00FF41B0">
        <w:rPr>
          <w:rFonts w:ascii="Arial" w:hAnsi="Arial" w:cs="Arial"/>
          <w:sz w:val="24"/>
          <w:szCs w:val="24"/>
        </w:rPr>
        <w:t>(i.e.</w:t>
      </w:r>
      <w:r w:rsidR="00B061DB">
        <w:rPr>
          <w:rFonts w:ascii="Arial" w:hAnsi="Arial" w:cs="Arial"/>
          <w:sz w:val="24"/>
          <w:szCs w:val="24"/>
        </w:rPr>
        <w:t xml:space="preserve"> </w:t>
      </w:r>
      <w:r>
        <w:rPr>
          <w:rFonts w:ascii="Arial" w:hAnsi="Arial" w:cs="Arial"/>
          <w:sz w:val="24"/>
          <w:szCs w:val="24"/>
        </w:rPr>
        <w:t xml:space="preserve">cells Y581 to AB585) </w:t>
      </w:r>
      <w:r w:rsidR="00B061DB">
        <w:rPr>
          <w:rFonts w:ascii="Arial" w:hAnsi="Arial" w:cs="Arial"/>
          <w:sz w:val="24"/>
          <w:szCs w:val="24"/>
        </w:rPr>
        <w:t xml:space="preserve">and file a revised version of the LRAMVA </w:t>
      </w:r>
      <w:proofErr w:type="spellStart"/>
      <w:r w:rsidR="00B061DB">
        <w:rPr>
          <w:rFonts w:ascii="Arial" w:hAnsi="Arial" w:cs="Arial"/>
          <w:sz w:val="24"/>
          <w:szCs w:val="24"/>
        </w:rPr>
        <w:t>Workform</w:t>
      </w:r>
      <w:proofErr w:type="spellEnd"/>
      <w:r w:rsidR="00B061DB">
        <w:rPr>
          <w:rFonts w:ascii="Arial" w:hAnsi="Arial" w:cs="Arial"/>
          <w:sz w:val="24"/>
          <w:szCs w:val="24"/>
        </w:rPr>
        <w:t>.</w:t>
      </w:r>
      <w:r w:rsidR="004A179C">
        <w:rPr>
          <w:rFonts w:ascii="Arial" w:hAnsi="Arial" w:cs="Arial"/>
          <w:sz w:val="24"/>
          <w:szCs w:val="24"/>
        </w:rPr>
        <w:t xml:space="preserve"> If not, please explain.</w:t>
      </w:r>
    </w:p>
    <w:p w14:paraId="269E868A" w14:textId="77777777" w:rsidR="00040669" w:rsidRDefault="00040669" w:rsidP="008E6045">
      <w:pPr>
        <w:rPr>
          <w:rFonts w:ascii="Arial" w:hAnsi="Arial" w:cs="Arial"/>
          <w:bCs/>
          <w:sz w:val="24"/>
          <w:szCs w:val="24"/>
        </w:rPr>
      </w:pPr>
    </w:p>
    <w:p w14:paraId="57E5153E" w14:textId="78A5D7D9" w:rsidR="00040669" w:rsidRDefault="00040669" w:rsidP="00040669">
      <w:pPr>
        <w:pStyle w:val="Heading2"/>
      </w:pPr>
      <w:bookmarkStart w:id="4" w:name="_Hlk62219565"/>
      <w:r>
        <w:t>Staff Question-</w:t>
      </w:r>
      <w:r w:rsidR="007B5DD9">
        <w:t>7</w:t>
      </w:r>
    </w:p>
    <w:bookmarkEnd w:id="4"/>
    <w:p w14:paraId="019372D1" w14:textId="370B20DE" w:rsidR="004D76AB" w:rsidRPr="004D76AB" w:rsidRDefault="004D76AB" w:rsidP="004D76AB">
      <w:pPr>
        <w:rPr>
          <w:rFonts w:ascii="Arial" w:hAnsi="Arial" w:cs="Arial"/>
          <w:sz w:val="24"/>
          <w:szCs w:val="24"/>
        </w:rPr>
      </w:pPr>
      <w:r w:rsidRPr="004D76AB">
        <w:rPr>
          <w:rFonts w:ascii="Arial" w:hAnsi="Arial" w:cs="Arial"/>
          <w:sz w:val="24"/>
          <w:szCs w:val="24"/>
        </w:rPr>
        <w:t>Ref:</w:t>
      </w:r>
      <w:r w:rsidRPr="004D76AB">
        <w:rPr>
          <w:rFonts w:ascii="Arial" w:hAnsi="Arial" w:cs="Arial"/>
          <w:sz w:val="24"/>
          <w:szCs w:val="24"/>
        </w:rPr>
        <w:tab/>
        <w:t>(1) Application, page 3</w:t>
      </w:r>
      <w:r>
        <w:rPr>
          <w:rFonts w:ascii="Arial" w:hAnsi="Arial" w:cs="Arial"/>
          <w:sz w:val="24"/>
          <w:szCs w:val="24"/>
        </w:rPr>
        <w:t>3</w:t>
      </w:r>
      <w:r w:rsidR="0032306A">
        <w:rPr>
          <w:rFonts w:ascii="Arial" w:hAnsi="Arial" w:cs="Arial"/>
          <w:sz w:val="24"/>
          <w:szCs w:val="24"/>
        </w:rPr>
        <w:t xml:space="preserve"> of 51</w:t>
      </w:r>
    </w:p>
    <w:p w14:paraId="10A85E19" w14:textId="77777777" w:rsidR="004D76AB" w:rsidRPr="004D76AB" w:rsidRDefault="004D76AB" w:rsidP="004D76AB">
      <w:pPr>
        <w:rPr>
          <w:rFonts w:ascii="Arial" w:hAnsi="Arial" w:cs="Arial"/>
          <w:sz w:val="24"/>
          <w:szCs w:val="24"/>
        </w:rPr>
      </w:pPr>
      <w:r w:rsidRPr="004D76AB">
        <w:rPr>
          <w:rFonts w:ascii="Arial" w:hAnsi="Arial" w:cs="Arial"/>
          <w:sz w:val="24"/>
          <w:szCs w:val="24"/>
        </w:rPr>
        <w:t>Preamble:</w:t>
      </w:r>
    </w:p>
    <w:p w14:paraId="262E91F8" w14:textId="77777777" w:rsidR="004D76AB" w:rsidRPr="004D76AB" w:rsidRDefault="004D76AB" w:rsidP="004D76AB">
      <w:pPr>
        <w:rPr>
          <w:rFonts w:ascii="Arial" w:hAnsi="Arial" w:cs="Arial"/>
          <w:sz w:val="24"/>
          <w:szCs w:val="24"/>
        </w:rPr>
      </w:pPr>
      <w:r w:rsidRPr="004D76AB">
        <w:rPr>
          <w:rFonts w:ascii="Arial" w:hAnsi="Arial" w:cs="Arial"/>
          <w:sz w:val="24"/>
          <w:szCs w:val="24"/>
        </w:rPr>
        <w:lastRenderedPageBreak/>
        <w:t>At the first reference, London Hydro indicated:</w:t>
      </w:r>
    </w:p>
    <w:p w14:paraId="63A28E80" w14:textId="77777777" w:rsidR="004D76AB" w:rsidRPr="004D76AB" w:rsidRDefault="004D76AB" w:rsidP="004D76AB">
      <w:pPr>
        <w:ind w:left="720"/>
        <w:rPr>
          <w:rFonts w:ascii="Arial" w:hAnsi="Arial" w:cs="Arial"/>
          <w:sz w:val="24"/>
          <w:szCs w:val="24"/>
        </w:rPr>
      </w:pPr>
      <w:r w:rsidRPr="004D76AB">
        <w:rPr>
          <w:rFonts w:ascii="Arial" w:hAnsi="Arial" w:cs="Arial"/>
          <w:sz w:val="24"/>
          <w:szCs w:val="24"/>
        </w:rPr>
        <w:t xml:space="preserve">During Phase 1 of the implementation process London Hydro found that it required to </w:t>
      </w:r>
      <w:proofErr w:type="gramStart"/>
      <w:r w:rsidRPr="004D76AB">
        <w:rPr>
          <w:rFonts w:ascii="Arial" w:hAnsi="Arial" w:cs="Arial"/>
          <w:sz w:val="24"/>
          <w:szCs w:val="24"/>
        </w:rPr>
        <w:t>make adjustments</w:t>
      </w:r>
      <w:proofErr w:type="gramEnd"/>
      <w:r w:rsidRPr="004D76AB">
        <w:rPr>
          <w:rFonts w:ascii="Arial" w:hAnsi="Arial" w:cs="Arial"/>
          <w:sz w:val="24"/>
          <w:szCs w:val="24"/>
        </w:rPr>
        <w:t xml:space="preserve"> for the change in GA methodology. CT 148 transactions were reviewed, the RPP percentage was applied and the RPP related costs were calculated. CT 142 GA credit transactions for RPP consumption were also reviewed and compared against the RPP portion of CT 148 GA cost. The net difference was deemed material and allocated out from GA costs to power costs effectively landing in 1588. London Hydro also reviewed its historical balances in 2017 and 2018, for which it carries principal variances, and made the required adjustments, as well.</w:t>
      </w:r>
    </w:p>
    <w:p w14:paraId="6E41BDEB" w14:textId="77777777" w:rsidR="004D76AB" w:rsidRPr="004D76AB" w:rsidRDefault="004D76AB" w:rsidP="004D76AB">
      <w:pPr>
        <w:rPr>
          <w:rFonts w:ascii="Arial" w:hAnsi="Arial" w:cs="Arial"/>
          <w:sz w:val="24"/>
          <w:szCs w:val="24"/>
        </w:rPr>
      </w:pPr>
      <w:r w:rsidRPr="004D76AB">
        <w:rPr>
          <w:rFonts w:ascii="Arial" w:hAnsi="Arial" w:cs="Arial"/>
          <w:sz w:val="24"/>
          <w:szCs w:val="24"/>
        </w:rPr>
        <w:t>Based on the above, London Hydro stated that “material differences” were identified for both 2017 and 2018 between Accounts 1588 and 1589.”</w:t>
      </w:r>
    </w:p>
    <w:p w14:paraId="6B1FDACD" w14:textId="77777777" w:rsidR="004D76AB" w:rsidRPr="004D76AB" w:rsidRDefault="004D76AB" w:rsidP="004D76AB">
      <w:pPr>
        <w:rPr>
          <w:rFonts w:ascii="Arial" w:hAnsi="Arial" w:cs="Arial"/>
          <w:bCs/>
          <w:sz w:val="24"/>
          <w:szCs w:val="24"/>
        </w:rPr>
      </w:pPr>
      <w:r w:rsidRPr="004D76AB">
        <w:rPr>
          <w:rFonts w:ascii="Arial" w:hAnsi="Arial" w:cs="Arial"/>
          <w:bCs/>
          <w:sz w:val="24"/>
          <w:szCs w:val="24"/>
        </w:rPr>
        <w:t>Question(s):</w:t>
      </w:r>
    </w:p>
    <w:p w14:paraId="4019E32F" w14:textId="77777777" w:rsidR="004D76AB" w:rsidRPr="004D76AB" w:rsidRDefault="004D76AB" w:rsidP="00001518">
      <w:pPr>
        <w:pStyle w:val="ListParagraph"/>
        <w:numPr>
          <w:ilvl w:val="0"/>
          <w:numId w:val="16"/>
        </w:numPr>
        <w:spacing w:after="160"/>
        <w:rPr>
          <w:rFonts w:ascii="Arial" w:hAnsi="Arial" w:cs="Arial"/>
          <w:sz w:val="24"/>
          <w:szCs w:val="24"/>
        </w:rPr>
      </w:pPr>
      <w:r w:rsidRPr="004D76AB">
        <w:rPr>
          <w:rFonts w:ascii="Arial" w:hAnsi="Arial" w:cs="Arial"/>
          <w:sz w:val="24"/>
          <w:szCs w:val="24"/>
        </w:rPr>
        <w:t>Please provide more detail, including a summary breakdown of the actual dollar amounts impacting Account 1588 and Account 1589 by year, as well as the nature of the adjustments.</w:t>
      </w:r>
    </w:p>
    <w:p w14:paraId="3C2D4D87" w14:textId="77777777" w:rsidR="004D76AB" w:rsidRPr="004D76AB" w:rsidRDefault="004D76AB" w:rsidP="004D76AB">
      <w:pPr>
        <w:ind w:left="720"/>
        <w:rPr>
          <w:rFonts w:ascii="Arial" w:hAnsi="Arial" w:cs="Arial"/>
          <w:sz w:val="24"/>
          <w:szCs w:val="24"/>
        </w:rPr>
      </w:pPr>
    </w:p>
    <w:p w14:paraId="31040A83" w14:textId="77777777" w:rsidR="004D76AB" w:rsidRPr="004D76AB" w:rsidRDefault="004D76AB" w:rsidP="004D76AB">
      <w:pPr>
        <w:pStyle w:val="Heading2"/>
        <w:rPr>
          <w:rFonts w:cs="Arial"/>
          <w:szCs w:val="24"/>
        </w:rPr>
      </w:pPr>
      <w:r w:rsidRPr="004D76AB">
        <w:rPr>
          <w:rFonts w:cs="Arial"/>
          <w:szCs w:val="24"/>
        </w:rPr>
        <w:t>Staff Question-8</w:t>
      </w:r>
    </w:p>
    <w:p w14:paraId="03140E99" w14:textId="0B10F807" w:rsidR="004D76AB" w:rsidRPr="004D76AB" w:rsidRDefault="004D76AB" w:rsidP="004D76AB">
      <w:pPr>
        <w:rPr>
          <w:rFonts w:ascii="Arial" w:hAnsi="Arial" w:cs="Arial"/>
          <w:sz w:val="24"/>
          <w:szCs w:val="24"/>
        </w:rPr>
      </w:pPr>
      <w:r w:rsidRPr="004D76AB">
        <w:rPr>
          <w:rFonts w:ascii="Arial" w:hAnsi="Arial" w:cs="Arial"/>
          <w:sz w:val="24"/>
          <w:szCs w:val="24"/>
        </w:rPr>
        <w:t>Ref:</w:t>
      </w:r>
      <w:r w:rsidRPr="004D76AB">
        <w:rPr>
          <w:rFonts w:ascii="Arial" w:hAnsi="Arial" w:cs="Arial"/>
          <w:sz w:val="24"/>
          <w:szCs w:val="24"/>
        </w:rPr>
        <w:tab/>
        <w:t>(1) Application, Table 10, page 35</w:t>
      </w:r>
      <w:r w:rsidR="0069530C">
        <w:rPr>
          <w:rFonts w:ascii="Arial" w:hAnsi="Arial" w:cs="Arial"/>
          <w:sz w:val="24"/>
          <w:szCs w:val="24"/>
        </w:rPr>
        <w:t xml:space="preserve"> of 51 (Account 1588)</w:t>
      </w:r>
    </w:p>
    <w:p w14:paraId="3380B03E" w14:textId="2E3489B1" w:rsidR="004D76AB" w:rsidRPr="004D76AB" w:rsidRDefault="004D76AB" w:rsidP="004D76AB">
      <w:pPr>
        <w:rPr>
          <w:rFonts w:ascii="Arial" w:hAnsi="Arial" w:cs="Arial"/>
          <w:sz w:val="24"/>
          <w:szCs w:val="24"/>
        </w:rPr>
      </w:pPr>
      <w:r w:rsidRPr="004D76AB">
        <w:rPr>
          <w:rFonts w:ascii="Arial" w:hAnsi="Arial" w:cs="Arial"/>
          <w:sz w:val="24"/>
          <w:szCs w:val="24"/>
        </w:rPr>
        <w:tab/>
        <w:t xml:space="preserve">(2) Rate Generator Model, </w:t>
      </w:r>
      <w:r w:rsidR="00EC6B01" w:rsidRPr="00F335A1">
        <w:rPr>
          <w:rFonts w:ascii="Arial" w:hAnsi="Arial" w:cs="Arial"/>
          <w:sz w:val="24"/>
          <w:szCs w:val="24"/>
        </w:rPr>
        <w:t xml:space="preserve">dated Jan </w:t>
      </w:r>
      <w:proofErr w:type="gramStart"/>
      <w:r w:rsidR="00EC6B01" w:rsidRPr="00F335A1">
        <w:rPr>
          <w:rFonts w:ascii="Arial" w:hAnsi="Arial" w:cs="Arial"/>
          <w:sz w:val="24"/>
          <w:szCs w:val="24"/>
        </w:rPr>
        <w:t>2</w:t>
      </w:r>
      <w:r w:rsidR="00644305">
        <w:rPr>
          <w:rFonts w:ascii="Arial" w:hAnsi="Arial" w:cs="Arial"/>
          <w:sz w:val="24"/>
          <w:szCs w:val="24"/>
        </w:rPr>
        <w:t>5</w:t>
      </w:r>
      <w:proofErr w:type="gramEnd"/>
      <w:r w:rsidR="00EC6B01" w:rsidRPr="00F335A1">
        <w:rPr>
          <w:rFonts w:ascii="Arial" w:hAnsi="Arial" w:cs="Arial"/>
          <w:sz w:val="24"/>
          <w:szCs w:val="24"/>
        </w:rPr>
        <w:t xml:space="preserve"> 2021</w:t>
      </w:r>
      <w:r w:rsidR="00EC6B01">
        <w:rPr>
          <w:rFonts w:ascii="Arial" w:hAnsi="Arial" w:cs="Arial"/>
          <w:sz w:val="24"/>
          <w:szCs w:val="24"/>
        </w:rPr>
        <w:t xml:space="preserve">, </w:t>
      </w:r>
      <w:r w:rsidRPr="004D76AB">
        <w:rPr>
          <w:rFonts w:ascii="Arial" w:hAnsi="Arial" w:cs="Arial"/>
          <w:sz w:val="24"/>
          <w:szCs w:val="24"/>
        </w:rPr>
        <w:t>Tab 3 – Account 1588</w:t>
      </w:r>
    </w:p>
    <w:p w14:paraId="6AF5F7E4" w14:textId="77777777" w:rsidR="004D76AB" w:rsidRPr="004D76AB" w:rsidRDefault="004D76AB" w:rsidP="004D76AB">
      <w:pPr>
        <w:rPr>
          <w:rFonts w:ascii="Arial" w:hAnsi="Arial" w:cs="Arial"/>
          <w:sz w:val="24"/>
          <w:szCs w:val="24"/>
        </w:rPr>
      </w:pPr>
      <w:r w:rsidRPr="004D76AB">
        <w:rPr>
          <w:rFonts w:ascii="Arial" w:hAnsi="Arial" w:cs="Arial"/>
          <w:sz w:val="24"/>
          <w:szCs w:val="24"/>
        </w:rPr>
        <w:t>Preamble:</w:t>
      </w:r>
    </w:p>
    <w:p w14:paraId="7933CD9A" w14:textId="77777777" w:rsidR="004D76AB" w:rsidRPr="004D76AB" w:rsidRDefault="004D76AB" w:rsidP="004D76AB">
      <w:pPr>
        <w:rPr>
          <w:rFonts w:ascii="Arial" w:hAnsi="Arial" w:cs="Arial"/>
          <w:sz w:val="24"/>
          <w:szCs w:val="24"/>
        </w:rPr>
      </w:pPr>
      <w:r w:rsidRPr="004D76AB">
        <w:rPr>
          <w:rFonts w:ascii="Arial" w:hAnsi="Arial" w:cs="Arial"/>
          <w:sz w:val="24"/>
          <w:szCs w:val="24"/>
        </w:rPr>
        <w:t xml:space="preserve">London Hydro provided a summary of commodity balances for disposition after principal adjustments. </w:t>
      </w:r>
    </w:p>
    <w:p w14:paraId="53637CD0" w14:textId="4B2B14EF" w:rsidR="004D76AB" w:rsidRPr="004D76AB" w:rsidRDefault="004D76AB" w:rsidP="004D76AB">
      <w:pPr>
        <w:rPr>
          <w:rFonts w:ascii="Arial" w:hAnsi="Arial" w:cs="Arial"/>
          <w:sz w:val="24"/>
          <w:szCs w:val="24"/>
        </w:rPr>
      </w:pPr>
      <w:r w:rsidRPr="004D76AB">
        <w:rPr>
          <w:rFonts w:ascii="Arial" w:hAnsi="Arial" w:cs="Arial"/>
          <w:sz w:val="24"/>
          <w:szCs w:val="24"/>
        </w:rPr>
        <w:t>OEB staff note</w:t>
      </w:r>
      <w:r w:rsidR="00E82D41">
        <w:rPr>
          <w:rFonts w:ascii="Arial" w:hAnsi="Arial" w:cs="Arial"/>
          <w:sz w:val="24"/>
          <w:szCs w:val="24"/>
        </w:rPr>
        <w:t xml:space="preserve">s </w:t>
      </w:r>
      <w:r w:rsidRPr="004D76AB">
        <w:rPr>
          <w:rFonts w:ascii="Arial" w:hAnsi="Arial" w:cs="Arial"/>
          <w:sz w:val="24"/>
          <w:szCs w:val="24"/>
        </w:rPr>
        <w:t xml:space="preserve">some differences between Table 10 </w:t>
      </w:r>
      <w:r w:rsidR="0069530C">
        <w:rPr>
          <w:rFonts w:ascii="Arial" w:hAnsi="Arial" w:cs="Arial"/>
          <w:sz w:val="24"/>
          <w:szCs w:val="24"/>
        </w:rPr>
        <w:t xml:space="preserve">of the Application </w:t>
      </w:r>
      <w:r w:rsidRPr="004D76AB">
        <w:rPr>
          <w:rFonts w:ascii="Arial" w:hAnsi="Arial" w:cs="Arial"/>
          <w:sz w:val="24"/>
          <w:szCs w:val="24"/>
        </w:rPr>
        <w:t xml:space="preserve">and the information </w:t>
      </w:r>
      <w:r w:rsidR="00B061DB">
        <w:rPr>
          <w:rFonts w:ascii="Arial" w:hAnsi="Arial" w:cs="Arial"/>
          <w:sz w:val="24"/>
          <w:szCs w:val="24"/>
        </w:rPr>
        <w:t xml:space="preserve">contained </w:t>
      </w:r>
      <w:r w:rsidRPr="004D76AB">
        <w:rPr>
          <w:rFonts w:ascii="Arial" w:hAnsi="Arial" w:cs="Arial"/>
          <w:sz w:val="24"/>
          <w:szCs w:val="24"/>
        </w:rPr>
        <w:t>in Tab 3 – Continuity Schedule of the Rate Generator Model</w:t>
      </w:r>
      <w:r w:rsidR="00B061DB">
        <w:rPr>
          <w:rFonts w:ascii="Arial" w:hAnsi="Arial" w:cs="Arial"/>
          <w:sz w:val="24"/>
          <w:szCs w:val="24"/>
        </w:rPr>
        <w:t>. For example,</w:t>
      </w:r>
      <w:r w:rsidRPr="004D76AB">
        <w:rPr>
          <w:rFonts w:ascii="Arial" w:hAnsi="Arial" w:cs="Arial"/>
          <w:sz w:val="24"/>
          <w:szCs w:val="24"/>
        </w:rPr>
        <w:t xml:space="preserve"> the </w:t>
      </w:r>
      <w:r w:rsidR="00B061DB" w:rsidRPr="004D76AB">
        <w:rPr>
          <w:rFonts w:ascii="Arial" w:hAnsi="Arial" w:cs="Arial"/>
          <w:sz w:val="24"/>
          <w:szCs w:val="24"/>
        </w:rPr>
        <w:t xml:space="preserve">2017-2019 </w:t>
      </w:r>
      <w:r w:rsidRPr="004D76AB">
        <w:rPr>
          <w:rFonts w:ascii="Arial" w:hAnsi="Arial" w:cs="Arial"/>
          <w:sz w:val="24"/>
          <w:szCs w:val="24"/>
        </w:rPr>
        <w:t>opening balances</w:t>
      </w:r>
      <w:r w:rsidR="00B061DB">
        <w:rPr>
          <w:rFonts w:ascii="Arial" w:hAnsi="Arial" w:cs="Arial"/>
          <w:sz w:val="24"/>
          <w:szCs w:val="24"/>
        </w:rPr>
        <w:t xml:space="preserve"> in the C</w:t>
      </w:r>
      <w:r w:rsidR="00B061DB" w:rsidRPr="004D76AB">
        <w:rPr>
          <w:rFonts w:ascii="Arial" w:hAnsi="Arial" w:cs="Arial"/>
          <w:sz w:val="24"/>
          <w:szCs w:val="24"/>
        </w:rPr>
        <w:t xml:space="preserve">ontinuity </w:t>
      </w:r>
      <w:r w:rsidR="00B061DB">
        <w:rPr>
          <w:rFonts w:ascii="Arial" w:hAnsi="Arial" w:cs="Arial"/>
          <w:sz w:val="24"/>
          <w:szCs w:val="24"/>
        </w:rPr>
        <w:t>S</w:t>
      </w:r>
      <w:r w:rsidR="00B061DB" w:rsidRPr="004D76AB">
        <w:rPr>
          <w:rFonts w:ascii="Arial" w:hAnsi="Arial" w:cs="Arial"/>
          <w:sz w:val="24"/>
          <w:szCs w:val="24"/>
        </w:rPr>
        <w:t>chedule</w:t>
      </w:r>
      <w:r w:rsidRPr="004D76AB">
        <w:rPr>
          <w:rFonts w:ascii="Arial" w:hAnsi="Arial" w:cs="Arial"/>
          <w:sz w:val="24"/>
          <w:szCs w:val="24"/>
        </w:rPr>
        <w:t xml:space="preserve"> have not been included in Table 10, and the “Principal Accumulated” column in Table 10 refer to the “Transactions” column of the </w:t>
      </w:r>
      <w:r w:rsidR="0069530C">
        <w:rPr>
          <w:rFonts w:ascii="Arial" w:hAnsi="Arial" w:cs="Arial"/>
          <w:sz w:val="24"/>
          <w:szCs w:val="24"/>
        </w:rPr>
        <w:t>C</w:t>
      </w:r>
      <w:r w:rsidRPr="004D76AB">
        <w:rPr>
          <w:rFonts w:ascii="Arial" w:hAnsi="Arial" w:cs="Arial"/>
          <w:sz w:val="24"/>
          <w:szCs w:val="24"/>
        </w:rPr>
        <w:t xml:space="preserve">ontinuity </w:t>
      </w:r>
      <w:r w:rsidR="0069530C">
        <w:rPr>
          <w:rFonts w:ascii="Arial" w:hAnsi="Arial" w:cs="Arial"/>
          <w:sz w:val="24"/>
          <w:szCs w:val="24"/>
        </w:rPr>
        <w:t>S</w:t>
      </w:r>
      <w:r w:rsidRPr="004D76AB">
        <w:rPr>
          <w:rFonts w:ascii="Arial" w:hAnsi="Arial" w:cs="Arial"/>
          <w:sz w:val="24"/>
          <w:szCs w:val="24"/>
        </w:rPr>
        <w:t xml:space="preserve">chedule. </w:t>
      </w:r>
    </w:p>
    <w:p w14:paraId="742A141A" w14:textId="77777777" w:rsidR="000C1AAF" w:rsidRDefault="000C1AAF" w:rsidP="004D76AB">
      <w:pPr>
        <w:rPr>
          <w:rFonts w:ascii="Arial" w:hAnsi="Arial" w:cs="Arial"/>
          <w:sz w:val="24"/>
          <w:szCs w:val="24"/>
          <w:u w:val="single"/>
        </w:rPr>
      </w:pPr>
    </w:p>
    <w:p w14:paraId="22262D4C" w14:textId="77777777" w:rsidR="000C1AAF" w:rsidRDefault="000C1AAF" w:rsidP="004D76AB">
      <w:pPr>
        <w:rPr>
          <w:rFonts w:ascii="Arial" w:hAnsi="Arial" w:cs="Arial"/>
          <w:sz w:val="24"/>
          <w:szCs w:val="24"/>
          <w:u w:val="single"/>
        </w:rPr>
      </w:pPr>
    </w:p>
    <w:p w14:paraId="1C2442DC" w14:textId="77777777" w:rsidR="000C1AAF" w:rsidRDefault="000C1AAF" w:rsidP="004D76AB">
      <w:pPr>
        <w:rPr>
          <w:rFonts w:ascii="Arial" w:hAnsi="Arial" w:cs="Arial"/>
          <w:sz w:val="24"/>
          <w:szCs w:val="24"/>
          <w:u w:val="single"/>
        </w:rPr>
      </w:pPr>
    </w:p>
    <w:p w14:paraId="5FC24F25" w14:textId="77777777" w:rsidR="000C1AAF" w:rsidRDefault="000C1AAF" w:rsidP="004D76AB">
      <w:pPr>
        <w:rPr>
          <w:rFonts w:ascii="Arial" w:hAnsi="Arial" w:cs="Arial"/>
          <w:sz w:val="24"/>
          <w:szCs w:val="24"/>
          <w:u w:val="single"/>
        </w:rPr>
      </w:pPr>
    </w:p>
    <w:p w14:paraId="2AB818BF" w14:textId="3625B5F5" w:rsidR="004D76AB" w:rsidRPr="004D76AB" w:rsidRDefault="004D76AB" w:rsidP="004D76AB">
      <w:pPr>
        <w:rPr>
          <w:rFonts w:ascii="Arial" w:hAnsi="Arial" w:cs="Arial"/>
          <w:sz w:val="24"/>
          <w:szCs w:val="24"/>
          <w:u w:val="single"/>
        </w:rPr>
      </w:pPr>
      <w:r w:rsidRPr="004D76AB">
        <w:rPr>
          <w:rFonts w:ascii="Arial" w:hAnsi="Arial" w:cs="Arial"/>
          <w:sz w:val="24"/>
          <w:szCs w:val="24"/>
          <w:u w:val="single"/>
        </w:rPr>
        <w:lastRenderedPageBreak/>
        <w:t xml:space="preserve">Table 10 – Application </w:t>
      </w:r>
    </w:p>
    <w:p w14:paraId="739A216A" w14:textId="77777777" w:rsidR="004D76AB" w:rsidRPr="004D76AB" w:rsidRDefault="004D76AB" w:rsidP="004D76AB">
      <w:pPr>
        <w:pStyle w:val="ListParagraph"/>
        <w:ind w:left="0"/>
        <w:rPr>
          <w:rFonts w:ascii="Arial" w:hAnsi="Arial" w:cs="Arial"/>
          <w:sz w:val="24"/>
          <w:szCs w:val="24"/>
        </w:rPr>
      </w:pPr>
      <w:r w:rsidRPr="004D76AB">
        <w:rPr>
          <w:rFonts w:ascii="Arial" w:hAnsi="Arial" w:cs="Arial"/>
          <w:noProof/>
          <w:sz w:val="24"/>
          <w:szCs w:val="24"/>
        </w:rPr>
        <w:drawing>
          <wp:inline distT="0" distB="0" distL="0" distR="0" wp14:anchorId="1B8909E1" wp14:editId="734CD048">
            <wp:extent cx="5943600" cy="1125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125855"/>
                    </a:xfrm>
                    <a:prstGeom prst="rect">
                      <a:avLst/>
                    </a:prstGeom>
                    <a:noFill/>
                    <a:ln>
                      <a:noFill/>
                    </a:ln>
                  </pic:spPr>
                </pic:pic>
              </a:graphicData>
            </a:graphic>
          </wp:inline>
        </w:drawing>
      </w:r>
    </w:p>
    <w:p w14:paraId="10FF925C" w14:textId="77777777" w:rsidR="00E82D41" w:rsidRDefault="00E82D41" w:rsidP="004D76AB">
      <w:pPr>
        <w:rPr>
          <w:rFonts w:ascii="Arial" w:hAnsi="Arial" w:cs="Arial"/>
          <w:sz w:val="24"/>
          <w:szCs w:val="24"/>
        </w:rPr>
      </w:pPr>
    </w:p>
    <w:p w14:paraId="7B00CB07" w14:textId="52501B4B" w:rsidR="004D76AB" w:rsidRPr="004D76AB" w:rsidRDefault="00E82D41" w:rsidP="004D76AB">
      <w:pPr>
        <w:rPr>
          <w:rFonts w:ascii="Arial" w:hAnsi="Arial" w:cs="Arial"/>
          <w:sz w:val="24"/>
          <w:szCs w:val="24"/>
          <w:u w:val="single"/>
        </w:rPr>
      </w:pPr>
      <w:r>
        <w:rPr>
          <w:rFonts w:ascii="Arial" w:hAnsi="Arial" w:cs="Arial"/>
          <w:sz w:val="24"/>
          <w:szCs w:val="24"/>
        </w:rPr>
        <w:t>T</w:t>
      </w:r>
      <w:r w:rsidR="004D76AB" w:rsidRPr="004D76AB">
        <w:rPr>
          <w:rFonts w:ascii="Arial" w:hAnsi="Arial" w:cs="Arial"/>
          <w:sz w:val="24"/>
          <w:szCs w:val="24"/>
        </w:rPr>
        <w:t>he opening principal balance as of Jan</w:t>
      </w:r>
      <w:r>
        <w:rPr>
          <w:rFonts w:ascii="Arial" w:hAnsi="Arial" w:cs="Arial"/>
          <w:sz w:val="24"/>
          <w:szCs w:val="24"/>
        </w:rPr>
        <w:t>uary</w:t>
      </w:r>
      <w:r w:rsidR="004D76AB" w:rsidRPr="004D76AB">
        <w:rPr>
          <w:rFonts w:ascii="Arial" w:hAnsi="Arial" w:cs="Arial"/>
          <w:sz w:val="24"/>
          <w:szCs w:val="24"/>
        </w:rPr>
        <w:t xml:space="preserve"> 1, 2017 in the </w:t>
      </w:r>
      <w:r>
        <w:rPr>
          <w:rFonts w:ascii="Arial" w:hAnsi="Arial" w:cs="Arial"/>
          <w:sz w:val="24"/>
          <w:szCs w:val="24"/>
        </w:rPr>
        <w:t>Co</w:t>
      </w:r>
      <w:r w:rsidR="004D76AB" w:rsidRPr="004D76AB">
        <w:rPr>
          <w:rFonts w:ascii="Arial" w:hAnsi="Arial" w:cs="Arial"/>
          <w:sz w:val="24"/>
          <w:szCs w:val="24"/>
        </w:rPr>
        <w:t xml:space="preserve">ntinuity </w:t>
      </w:r>
      <w:r>
        <w:rPr>
          <w:rFonts w:ascii="Arial" w:hAnsi="Arial" w:cs="Arial"/>
          <w:sz w:val="24"/>
          <w:szCs w:val="24"/>
        </w:rPr>
        <w:t>S</w:t>
      </w:r>
      <w:r w:rsidR="004D76AB" w:rsidRPr="004D76AB">
        <w:rPr>
          <w:rFonts w:ascii="Arial" w:hAnsi="Arial" w:cs="Arial"/>
          <w:sz w:val="24"/>
          <w:szCs w:val="24"/>
        </w:rPr>
        <w:t xml:space="preserve">chedule shows ($79,854) but </w:t>
      </w:r>
      <w:r>
        <w:rPr>
          <w:rFonts w:ascii="Arial" w:hAnsi="Arial" w:cs="Arial"/>
          <w:sz w:val="24"/>
          <w:szCs w:val="24"/>
        </w:rPr>
        <w:t>they are</w:t>
      </w:r>
      <w:r w:rsidR="004D76AB" w:rsidRPr="004D76AB">
        <w:rPr>
          <w:rFonts w:ascii="Arial" w:hAnsi="Arial" w:cs="Arial"/>
          <w:sz w:val="24"/>
          <w:szCs w:val="24"/>
        </w:rPr>
        <w:t xml:space="preserve"> not shown in Table 10. The subsequent opening balances (2018 and 2019) noted in the screenshots below were </w:t>
      </w:r>
      <w:r>
        <w:rPr>
          <w:rFonts w:ascii="Arial" w:hAnsi="Arial" w:cs="Arial"/>
          <w:sz w:val="24"/>
          <w:szCs w:val="24"/>
        </w:rPr>
        <w:t xml:space="preserve">also </w:t>
      </w:r>
      <w:r w:rsidR="004D76AB" w:rsidRPr="004D76AB">
        <w:rPr>
          <w:rFonts w:ascii="Arial" w:hAnsi="Arial" w:cs="Arial"/>
          <w:sz w:val="24"/>
          <w:szCs w:val="24"/>
        </w:rPr>
        <w:t>not included in Table 10</w:t>
      </w:r>
      <w:r w:rsidR="009142F2">
        <w:rPr>
          <w:rFonts w:ascii="Arial" w:hAnsi="Arial" w:cs="Arial"/>
          <w:sz w:val="24"/>
          <w:szCs w:val="24"/>
        </w:rPr>
        <w:t xml:space="preserve"> above</w:t>
      </w:r>
      <w:r w:rsidR="004D76AB" w:rsidRPr="004D76AB">
        <w:rPr>
          <w:rFonts w:ascii="Arial" w:hAnsi="Arial" w:cs="Arial"/>
          <w:sz w:val="24"/>
          <w:szCs w:val="24"/>
        </w:rPr>
        <w:t>.</w:t>
      </w:r>
    </w:p>
    <w:p w14:paraId="6879BE8E" w14:textId="09460955" w:rsidR="004D76AB" w:rsidRPr="004D76AB" w:rsidRDefault="004D76AB" w:rsidP="004D76AB">
      <w:pPr>
        <w:rPr>
          <w:rFonts w:ascii="Arial" w:hAnsi="Arial" w:cs="Arial"/>
          <w:sz w:val="24"/>
          <w:szCs w:val="24"/>
          <w:u w:val="single"/>
        </w:rPr>
      </w:pPr>
      <w:r w:rsidRPr="004D76AB">
        <w:rPr>
          <w:rFonts w:ascii="Arial" w:hAnsi="Arial" w:cs="Arial"/>
          <w:sz w:val="24"/>
          <w:szCs w:val="24"/>
          <w:u w:val="single"/>
        </w:rPr>
        <w:t>Tab 3 - 2017 continuity schedule</w:t>
      </w:r>
    </w:p>
    <w:p w14:paraId="219046E6" w14:textId="77777777" w:rsidR="004D76AB" w:rsidRPr="004D76AB" w:rsidRDefault="004D76AB" w:rsidP="004D76AB">
      <w:pPr>
        <w:rPr>
          <w:rFonts w:ascii="Arial" w:hAnsi="Arial" w:cs="Arial"/>
          <w:sz w:val="24"/>
          <w:szCs w:val="24"/>
        </w:rPr>
      </w:pPr>
      <w:r w:rsidRPr="004D76AB">
        <w:rPr>
          <w:rFonts w:ascii="Arial" w:hAnsi="Arial" w:cs="Arial"/>
          <w:noProof/>
          <w:sz w:val="24"/>
          <w:szCs w:val="24"/>
        </w:rPr>
        <w:drawing>
          <wp:inline distT="0" distB="0" distL="0" distR="0" wp14:anchorId="64DF484D" wp14:editId="0064028D">
            <wp:extent cx="5444836" cy="343327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02824" cy="3469837"/>
                    </a:xfrm>
                    <a:prstGeom prst="rect">
                      <a:avLst/>
                    </a:prstGeom>
                  </pic:spPr>
                </pic:pic>
              </a:graphicData>
            </a:graphic>
          </wp:inline>
        </w:drawing>
      </w:r>
    </w:p>
    <w:p w14:paraId="23364D85" w14:textId="77777777" w:rsidR="000C1AAF" w:rsidRDefault="000C1AAF" w:rsidP="004D76AB">
      <w:pPr>
        <w:rPr>
          <w:rFonts w:ascii="Arial" w:hAnsi="Arial" w:cs="Arial"/>
          <w:sz w:val="24"/>
          <w:szCs w:val="24"/>
          <w:u w:val="single"/>
        </w:rPr>
      </w:pPr>
    </w:p>
    <w:p w14:paraId="02CAF158" w14:textId="77777777" w:rsidR="000C1AAF" w:rsidRDefault="000C1AAF" w:rsidP="004D76AB">
      <w:pPr>
        <w:rPr>
          <w:rFonts w:ascii="Arial" w:hAnsi="Arial" w:cs="Arial"/>
          <w:sz w:val="24"/>
          <w:szCs w:val="24"/>
          <w:u w:val="single"/>
        </w:rPr>
      </w:pPr>
    </w:p>
    <w:p w14:paraId="21F3FAA4" w14:textId="77777777" w:rsidR="000C1AAF" w:rsidRDefault="000C1AAF" w:rsidP="004D76AB">
      <w:pPr>
        <w:rPr>
          <w:rFonts w:ascii="Arial" w:hAnsi="Arial" w:cs="Arial"/>
          <w:sz w:val="24"/>
          <w:szCs w:val="24"/>
          <w:u w:val="single"/>
        </w:rPr>
      </w:pPr>
    </w:p>
    <w:p w14:paraId="4E02E2BB" w14:textId="77777777" w:rsidR="000C1AAF" w:rsidRDefault="000C1AAF" w:rsidP="004D76AB">
      <w:pPr>
        <w:rPr>
          <w:rFonts w:ascii="Arial" w:hAnsi="Arial" w:cs="Arial"/>
          <w:sz w:val="24"/>
          <w:szCs w:val="24"/>
          <w:u w:val="single"/>
        </w:rPr>
      </w:pPr>
    </w:p>
    <w:p w14:paraId="0BDE7437" w14:textId="77777777" w:rsidR="000C1AAF" w:rsidRDefault="000C1AAF" w:rsidP="004D76AB">
      <w:pPr>
        <w:rPr>
          <w:rFonts w:ascii="Arial" w:hAnsi="Arial" w:cs="Arial"/>
          <w:sz w:val="24"/>
          <w:szCs w:val="24"/>
          <w:u w:val="single"/>
        </w:rPr>
      </w:pPr>
    </w:p>
    <w:p w14:paraId="13F7B48A" w14:textId="5FC10B61" w:rsidR="004D76AB" w:rsidRPr="004D76AB" w:rsidRDefault="004D76AB" w:rsidP="004D76AB">
      <w:pPr>
        <w:rPr>
          <w:rFonts w:ascii="Arial" w:hAnsi="Arial" w:cs="Arial"/>
          <w:sz w:val="24"/>
          <w:szCs w:val="24"/>
          <w:u w:val="single"/>
        </w:rPr>
      </w:pPr>
      <w:r w:rsidRPr="00911CE0">
        <w:rPr>
          <w:rFonts w:ascii="Arial" w:hAnsi="Arial" w:cs="Arial"/>
          <w:sz w:val="24"/>
          <w:szCs w:val="24"/>
          <w:u w:val="single"/>
        </w:rPr>
        <w:lastRenderedPageBreak/>
        <w:t>Tab 3_- 2018</w:t>
      </w:r>
      <w:r w:rsidRPr="004D76AB">
        <w:rPr>
          <w:rFonts w:ascii="Arial" w:hAnsi="Arial" w:cs="Arial"/>
          <w:sz w:val="24"/>
          <w:szCs w:val="24"/>
          <w:u w:val="single"/>
        </w:rPr>
        <w:t xml:space="preserve"> continuity schedule</w:t>
      </w:r>
    </w:p>
    <w:p w14:paraId="20D5BDE5" w14:textId="77777777" w:rsidR="004D76AB" w:rsidRPr="004D76AB" w:rsidRDefault="004D76AB" w:rsidP="004D76AB">
      <w:pPr>
        <w:rPr>
          <w:rFonts w:ascii="Arial" w:hAnsi="Arial" w:cs="Arial"/>
          <w:sz w:val="24"/>
          <w:szCs w:val="24"/>
        </w:rPr>
      </w:pPr>
      <w:r w:rsidRPr="004D76AB">
        <w:rPr>
          <w:rFonts w:ascii="Arial" w:hAnsi="Arial" w:cs="Arial"/>
          <w:noProof/>
          <w:sz w:val="24"/>
          <w:szCs w:val="24"/>
        </w:rPr>
        <w:drawing>
          <wp:inline distT="0" distB="0" distL="0" distR="0" wp14:anchorId="55487B33" wp14:editId="6B1D8DC9">
            <wp:extent cx="5320145" cy="3379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53957" cy="3464665"/>
                    </a:xfrm>
                    <a:prstGeom prst="rect">
                      <a:avLst/>
                    </a:prstGeom>
                  </pic:spPr>
                </pic:pic>
              </a:graphicData>
            </a:graphic>
          </wp:inline>
        </w:drawing>
      </w:r>
    </w:p>
    <w:p w14:paraId="7D5BC33F" w14:textId="77777777" w:rsidR="00EC6B01" w:rsidRDefault="00EC6B01" w:rsidP="004D76AB">
      <w:pPr>
        <w:rPr>
          <w:rFonts w:ascii="Arial" w:hAnsi="Arial" w:cs="Arial"/>
          <w:sz w:val="24"/>
          <w:szCs w:val="24"/>
          <w:u w:val="single"/>
        </w:rPr>
      </w:pPr>
    </w:p>
    <w:p w14:paraId="42E2B0AA" w14:textId="67D54F9A" w:rsidR="004D76AB" w:rsidRPr="004D76AB" w:rsidRDefault="004D76AB" w:rsidP="004D76AB">
      <w:pPr>
        <w:rPr>
          <w:rFonts w:ascii="Arial" w:hAnsi="Arial" w:cs="Arial"/>
          <w:sz w:val="24"/>
          <w:szCs w:val="24"/>
          <w:u w:val="single"/>
        </w:rPr>
      </w:pPr>
      <w:r w:rsidRPr="004D76AB">
        <w:rPr>
          <w:rFonts w:ascii="Arial" w:hAnsi="Arial" w:cs="Arial"/>
          <w:sz w:val="24"/>
          <w:szCs w:val="24"/>
          <w:u w:val="single"/>
        </w:rPr>
        <w:t>Tab 3 - 2019 continuity schedule</w:t>
      </w:r>
    </w:p>
    <w:p w14:paraId="0DA045A0" w14:textId="77777777" w:rsidR="004D76AB" w:rsidRPr="004D76AB" w:rsidRDefault="004D76AB" w:rsidP="004D76AB">
      <w:pPr>
        <w:rPr>
          <w:rFonts w:ascii="Arial" w:hAnsi="Arial" w:cs="Arial"/>
          <w:sz w:val="24"/>
          <w:szCs w:val="24"/>
        </w:rPr>
      </w:pPr>
      <w:r w:rsidRPr="004D76AB">
        <w:rPr>
          <w:rFonts w:ascii="Arial" w:hAnsi="Arial" w:cs="Arial"/>
          <w:noProof/>
          <w:sz w:val="24"/>
          <w:szCs w:val="24"/>
        </w:rPr>
        <w:drawing>
          <wp:inline distT="0" distB="0" distL="0" distR="0" wp14:anchorId="3AB5F849" wp14:editId="6FE9F0E3">
            <wp:extent cx="5213268" cy="339753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98898" cy="3453341"/>
                    </a:xfrm>
                    <a:prstGeom prst="rect">
                      <a:avLst/>
                    </a:prstGeom>
                  </pic:spPr>
                </pic:pic>
              </a:graphicData>
            </a:graphic>
          </wp:inline>
        </w:drawing>
      </w:r>
    </w:p>
    <w:p w14:paraId="6825C00C" w14:textId="77777777" w:rsidR="004D76AB" w:rsidRPr="004D76AB" w:rsidRDefault="004D76AB" w:rsidP="004D76AB">
      <w:pPr>
        <w:rPr>
          <w:rFonts w:ascii="Arial" w:hAnsi="Arial" w:cs="Arial"/>
          <w:sz w:val="24"/>
          <w:szCs w:val="24"/>
        </w:rPr>
      </w:pPr>
      <w:r w:rsidRPr="004D76AB">
        <w:rPr>
          <w:rFonts w:ascii="Arial" w:hAnsi="Arial" w:cs="Arial"/>
          <w:sz w:val="24"/>
          <w:szCs w:val="24"/>
        </w:rPr>
        <w:lastRenderedPageBreak/>
        <w:t>Question(s):</w:t>
      </w:r>
    </w:p>
    <w:p w14:paraId="0B458B11" w14:textId="1EFEACF4" w:rsidR="004D76AB" w:rsidRPr="004D76AB" w:rsidRDefault="004D76AB" w:rsidP="00001518">
      <w:pPr>
        <w:pStyle w:val="ListParagraph"/>
        <w:numPr>
          <w:ilvl w:val="0"/>
          <w:numId w:val="17"/>
        </w:numPr>
        <w:spacing w:after="160"/>
        <w:rPr>
          <w:rFonts w:ascii="Arial" w:hAnsi="Arial" w:cs="Arial"/>
          <w:sz w:val="24"/>
          <w:szCs w:val="24"/>
        </w:rPr>
      </w:pPr>
      <w:r w:rsidRPr="004D76AB">
        <w:rPr>
          <w:rFonts w:ascii="Arial" w:hAnsi="Arial" w:cs="Arial"/>
          <w:sz w:val="24"/>
          <w:szCs w:val="24"/>
        </w:rPr>
        <w:t>Please explain how the 2017-2019 opening balance</w:t>
      </w:r>
      <w:r w:rsidR="009142F2">
        <w:rPr>
          <w:rFonts w:ascii="Arial" w:hAnsi="Arial" w:cs="Arial"/>
          <w:sz w:val="24"/>
          <w:szCs w:val="24"/>
        </w:rPr>
        <w:t>s</w:t>
      </w:r>
      <w:r w:rsidRPr="004D76AB">
        <w:rPr>
          <w:rFonts w:ascii="Arial" w:hAnsi="Arial" w:cs="Arial"/>
          <w:sz w:val="24"/>
          <w:szCs w:val="24"/>
        </w:rPr>
        <w:t xml:space="preserve"> </w:t>
      </w:r>
      <w:r w:rsidR="009142F2">
        <w:rPr>
          <w:rFonts w:ascii="Arial" w:hAnsi="Arial" w:cs="Arial"/>
          <w:sz w:val="24"/>
          <w:szCs w:val="24"/>
        </w:rPr>
        <w:t>are</w:t>
      </w:r>
      <w:r w:rsidRPr="004D76AB">
        <w:rPr>
          <w:rFonts w:ascii="Arial" w:hAnsi="Arial" w:cs="Arial"/>
          <w:sz w:val="24"/>
          <w:szCs w:val="24"/>
        </w:rPr>
        <w:t xml:space="preserve"> accounted for in Table 10 and reconcile </w:t>
      </w:r>
      <w:r w:rsidR="009142F2">
        <w:rPr>
          <w:rFonts w:ascii="Arial" w:hAnsi="Arial" w:cs="Arial"/>
          <w:sz w:val="24"/>
          <w:szCs w:val="24"/>
        </w:rPr>
        <w:t>the adjustments in Table 10 to</w:t>
      </w:r>
      <w:r w:rsidRPr="004D76AB">
        <w:rPr>
          <w:rFonts w:ascii="Arial" w:hAnsi="Arial" w:cs="Arial"/>
          <w:sz w:val="24"/>
          <w:szCs w:val="24"/>
        </w:rPr>
        <w:t xml:space="preserve"> the information in the </w:t>
      </w:r>
      <w:r w:rsidR="009142F2">
        <w:rPr>
          <w:rFonts w:ascii="Arial" w:hAnsi="Arial" w:cs="Arial"/>
          <w:sz w:val="24"/>
          <w:szCs w:val="24"/>
        </w:rPr>
        <w:t xml:space="preserve">DVA </w:t>
      </w:r>
      <w:r w:rsidRPr="004D76AB">
        <w:rPr>
          <w:rFonts w:ascii="Arial" w:hAnsi="Arial" w:cs="Arial"/>
          <w:sz w:val="24"/>
          <w:szCs w:val="24"/>
        </w:rPr>
        <w:t>Continuity Schedule of the Rate Generator Model.</w:t>
      </w:r>
    </w:p>
    <w:p w14:paraId="3D13365C" w14:textId="77777777" w:rsidR="004D76AB" w:rsidRPr="004D76AB" w:rsidRDefault="004D76AB" w:rsidP="004D76AB">
      <w:pPr>
        <w:pStyle w:val="ListParagraph"/>
        <w:rPr>
          <w:rFonts w:ascii="Arial" w:hAnsi="Arial" w:cs="Arial"/>
          <w:sz w:val="24"/>
          <w:szCs w:val="24"/>
        </w:rPr>
      </w:pPr>
    </w:p>
    <w:p w14:paraId="25192CE2" w14:textId="77777777" w:rsidR="004D76AB" w:rsidRPr="004D76AB" w:rsidRDefault="004D76AB" w:rsidP="004D76AB">
      <w:pPr>
        <w:pStyle w:val="Heading2"/>
        <w:rPr>
          <w:rFonts w:cs="Arial"/>
          <w:szCs w:val="24"/>
        </w:rPr>
      </w:pPr>
      <w:r w:rsidRPr="004D76AB">
        <w:rPr>
          <w:rFonts w:cs="Arial"/>
          <w:szCs w:val="24"/>
        </w:rPr>
        <w:t>Staff Question-9</w:t>
      </w:r>
    </w:p>
    <w:p w14:paraId="51DB9C30" w14:textId="2312F7E2" w:rsidR="004D76AB" w:rsidRPr="004D76AB" w:rsidRDefault="004D76AB" w:rsidP="004D76AB">
      <w:pPr>
        <w:rPr>
          <w:rFonts w:ascii="Arial" w:hAnsi="Arial" w:cs="Arial"/>
          <w:sz w:val="24"/>
          <w:szCs w:val="24"/>
        </w:rPr>
      </w:pPr>
      <w:r w:rsidRPr="004D76AB">
        <w:rPr>
          <w:rFonts w:ascii="Arial" w:hAnsi="Arial" w:cs="Arial"/>
          <w:sz w:val="24"/>
          <w:szCs w:val="24"/>
        </w:rPr>
        <w:t>Ref:</w:t>
      </w:r>
      <w:r w:rsidRPr="004D76AB">
        <w:rPr>
          <w:rFonts w:ascii="Arial" w:hAnsi="Arial" w:cs="Arial"/>
          <w:sz w:val="24"/>
          <w:szCs w:val="24"/>
        </w:rPr>
        <w:tab/>
        <w:t xml:space="preserve">(1) Application, page 35 </w:t>
      </w:r>
      <w:r w:rsidR="0069530C">
        <w:rPr>
          <w:rFonts w:ascii="Arial" w:hAnsi="Arial" w:cs="Arial"/>
          <w:sz w:val="24"/>
          <w:szCs w:val="24"/>
        </w:rPr>
        <w:t>of 51</w:t>
      </w:r>
    </w:p>
    <w:p w14:paraId="7103BF37" w14:textId="77777777" w:rsidR="004D76AB" w:rsidRPr="004D76AB" w:rsidRDefault="004D76AB" w:rsidP="004D76AB">
      <w:pPr>
        <w:rPr>
          <w:rFonts w:ascii="Arial" w:hAnsi="Arial" w:cs="Arial"/>
          <w:sz w:val="24"/>
          <w:szCs w:val="24"/>
        </w:rPr>
      </w:pPr>
      <w:r w:rsidRPr="004D76AB">
        <w:rPr>
          <w:rFonts w:ascii="Arial" w:hAnsi="Arial" w:cs="Arial"/>
          <w:sz w:val="24"/>
          <w:szCs w:val="24"/>
        </w:rPr>
        <w:t>Preamble:</w:t>
      </w:r>
    </w:p>
    <w:p w14:paraId="37CBA2C2" w14:textId="77777777" w:rsidR="004D76AB" w:rsidRPr="004D76AB" w:rsidRDefault="004D76AB" w:rsidP="004D76AB">
      <w:pPr>
        <w:rPr>
          <w:rFonts w:ascii="Arial" w:hAnsi="Arial" w:cs="Arial"/>
          <w:sz w:val="24"/>
          <w:szCs w:val="24"/>
        </w:rPr>
      </w:pPr>
      <w:r w:rsidRPr="004D76AB">
        <w:rPr>
          <w:rFonts w:ascii="Arial" w:hAnsi="Arial" w:cs="Arial"/>
          <w:sz w:val="24"/>
          <w:szCs w:val="24"/>
        </w:rPr>
        <w:t>At the first reference, London Hydro stated:</w:t>
      </w:r>
    </w:p>
    <w:p w14:paraId="1A2FB708" w14:textId="5891EADF" w:rsidR="004D76AB" w:rsidRPr="004D76AB" w:rsidRDefault="004D76AB" w:rsidP="004D76AB">
      <w:pPr>
        <w:rPr>
          <w:rFonts w:ascii="Arial" w:hAnsi="Arial" w:cs="Arial"/>
          <w:sz w:val="24"/>
          <w:szCs w:val="24"/>
        </w:rPr>
      </w:pPr>
      <w:r w:rsidRPr="004D76AB">
        <w:rPr>
          <w:rFonts w:ascii="Arial" w:hAnsi="Arial" w:cs="Arial"/>
          <w:sz w:val="24"/>
          <w:szCs w:val="24"/>
        </w:rPr>
        <w:t xml:space="preserve">“[…] London Hydro now applies the actual invoiced (paid) GA price in the settlement true-up calculation. Two months later the proportion of GA costs are also </w:t>
      </w:r>
      <w:proofErr w:type="gramStart"/>
      <w:r w:rsidRPr="004D76AB">
        <w:rPr>
          <w:rFonts w:ascii="Arial" w:hAnsi="Arial" w:cs="Arial"/>
          <w:sz w:val="24"/>
          <w:szCs w:val="24"/>
        </w:rPr>
        <w:t>trued-up</w:t>
      </w:r>
      <w:proofErr w:type="gramEnd"/>
      <w:r w:rsidRPr="004D76AB">
        <w:rPr>
          <w:rFonts w:ascii="Arial" w:hAnsi="Arial" w:cs="Arial"/>
          <w:sz w:val="24"/>
          <w:szCs w:val="24"/>
        </w:rPr>
        <w:t xml:space="preserve"> based on the RPP/Non-RPP percentages calculated using the actual meter reads. London Hydro is working on separating the true-up of GA price from the volume true-up and submit this portion in the month following the initial submission. </w:t>
      </w:r>
      <w:r w:rsidRPr="004D76AB">
        <w:rPr>
          <w:rFonts w:ascii="Arial" w:hAnsi="Arial" w:cs="Arial"/>
          <w:b/>
          <w:bCs/>
          <w:sz w:val="24"/>
          <w:szCs w:val="24"/>
        </w:rPr>
        <w:t>London Hydro is committed to complete this final step of Phase 2 implementation by the end of the year</w:t>
      </w:r>
      <w:r w:rsidRPr="004D76AB">
        <w:rPr>
          <w:rFonts w:ascii="Arial" w:hAnsi="Arial" w:cs="Arial"/>
          <w:sz w:val="24"/>
          <w:szCs w:val="24"/>
        </w:rPr>
        <w:t xml:space="preserve">”. </w:t>
      </w:r>
      <w:r w:rsidR="00946818">
        <w:rPr>
          <w:rFonts w:ascii="Arial" w:hAnsi="Arial" w:cs="Arial"/>
          <w:sz w:val="24"/>
          <w:szCs w:val="24"/>
        </w:rPr>
        <w:t>[</w:t>
      </w:r>
      <w:r w:rsidRPr="004D76AB">
        <w:rPr>
          <w:rFonts w:ascii="Arial" w:hAnsi="Arial" w:cs="Arial"/>
          <w:sz w:val="24"/>
          <w:szCs w:val="24"/>
        </w:rPr>
        <w:t>emphasis added</w:t>
      </w:r>
      <w:r w:rsidR="00946818">
        <w:rPr>
          <w:rFonts w:ascii="Arial" w:hAnsi="Arial" w:cs="Arial"/>
          <w:sz w:val="24"/>
          <w:szCs w:val="24"/>
        </w:rPr>
        <w:t>]</w:t>
      </w:r>
    </w:p>
    <w:p w14:paraId="338D7D7B" w14:textId="77777777" w:rsidR="004D76AB" w:rsidRPr="004D76AB" w:rsidRDefault="004D76AB" w:rsidP="004D76AB">
      <w:pPr>
        <w:rPr>
          <w:rFonts w:ascii="Arial" w:hAnsi="Arial" w:cs="Arial"/>
          <w:sz w:val="24"/>
          <w:szCs w:val="24"/>
        </w:rPr>
      </w:pPr>
      <w:r w:rsidRPr="004D76AB">
        <w:rPr>
          <w:rFonts w:ascii="Arial" w:hAnsi="Arial" w:cs="Arial"/>
          <w:sz w:val="24"/>
          <w:szCs w:val="24"/>
        </w:rPr>
        <w:t>Question(s):</w:t>
      </w:r>
    </w:p>
    <w:p w14:paraId="5613ADC6" w14:textId="4E4720E5" w:rsidR="004D76AB" w:rsidRPr="004D76AB" w:rsidRDefault="004D76AB" w:rsidP="00001518">
      <w:pPr>
        <w:pStyle w:val="ListParagraph"/>
        <w:numPr>
          <w:ilvl w:val="0"/>
          <w:numId w:val="15"/>
        </w:numPr>
        <w:spacing w:after="160"/>
        <w:rPr>
          <w:rFonts w:ascii="Arial" w:hAnsi="Arial" w:cs="Arial"/>
          <w:sz w:val="24"/>
          <w:szCs w:val="24"/>
        </w:rPr>
      </w:pPr>
      <w:r w:rsidRPr="004D76AB">
        <w:rPr>
          <w:rFonts w:ascii="Arial" w:hAnsi="Arial" w:cs="Arial"/>
          <w:sz w:val="24"/>
          <w:szCs w:val="24"/>
        </w:rPr>
        <w:t>Please confirm</w:t>
      </w:r>
      <w:r w:rsidR="00946818">
        <w:rPr>
          <w:rFonts w:ascii="Arial" w:hAnsi="Arial" w:cs="Arial"/>
          <w:sz w:val="24"/>
          <w:szCs w:val="24"/>
        </w:rPr>
        <w:t xml:space="preserve"> that the</w:t>
      </w:r>
      <w:r w:rsidRPr="004D76AB">
        <w:rPr>
          <w:rFonts w:ascii="Arial" w:hAnsi="Arial" w:cs="Arial"/>
          <w:sz w:val="24"/>
          <w:szCs w:val="24"/>
        </w:rPr>
        <w:t xml:space="preserve"> Phase 2 implementation of “The Accounting Guidance Related to Commodity Pass-Through Accounts 1588 &amp; 1589, issued on February 21, 2019”, was completed by year-end of 2020, as stated above.</w:t>
      </w:r>
    </w:p>
    <w:p w14:paraId="4BFE79D1" w14:textId="77777777" w:rsidR="004D76AB" w:rsidRPr="004D76AB" w:rsidRDefault="004D76AB" w:rsidP="004D76AB">
      <w:pPr>
        <w:pStyle w:val="ListParagraph"/>
        <w:rPr>
          <w:rFonts w:ascii="Arial" w:hAnsi="Arial" w:cs="Arial"/>
          <w:sz w:val="24"/>
          <w:szCs w:val="24"/>
        </w:rPr>
      </w:pPr>
    </w:p>
    <w:p w14:paraId="7C942E8C" w14:textId="262EBCEB" w:rsidR="004D76AB" w:rsidRPr="004D76AB" w:rsidRDefault="004D76AB" w:rsidP="00001518">
      <w:pPr>
        <w:pStyle w:val="ListParagraph"/>
        <w:numPr>
          <w:ilvl w:val="0"/>
          <w:numId w:val="15"/>
        </w:numPr>
        <w:spacing w:after="160"/>
        <w:rPr>
          <w:rFonts w:ascii="Arial" w:hAnsi="Arial" w:cs="Arial"/>
          <w:sz w:val="24"/>
          <w:szCs w:val="24"/>
        </w:rPr>
      </w:pPr>
      <w:r w:rsidRPr="004D76AB">
        <w:rPr>
          <w:rFonts w:ascii="Arial" w:hAnsi="Arial" w:cs="Arial"/>
          <w:sz w:val="24"/>
          <w:szCs w:val="24"/>
        </w:rPr>
        <w:t>If not, please explain when the accounting guidance will be completed, and confirm whether there could be any subsequent adjustments to any prior year balances</w:t>
      </w:r>
      <w:r w:rsidR="00946818">
        <w:rPr>
          <w:rFonts w:ascii="Arial" w:hAnsi="Arial" w:cs="Arial"/>
          <w:sz w:val="24"/>
          <w:szCs w:val="24"/>
        </w:rPr>
        <w:t xml:space="preserve"> as a result</w:t>
      </w:r>
      <w:r w:rsidRPr="004D76AB">
        <w:rPr>
          <w:rFonts w:ascii="Arial" w:hAnsi="Arial" w:cs="Arial"/>
          <w:sz w:val="24"/>
          <w:szCs w:val="24"/>
        </w:rPr>
        <w:t>.</w:t>
      </w:r>
    </w:p>
    <w:p w14:paraId="5BCAB914" w14:textId="77777777" w:rsidR="004D76AB" w:rsidRPr="004D76AB" w:rsidRDefault="004D76AB" w:rsidP="004D76AB">
      <w:pPr>
        <w:rPr>
          <w:rFonts w:ascii="Arial" w:hAnsi="Arial" w:cs="Arial"/>
          <w:b/>
          <w:bCs/>
          <w:sz w:val="24"/>
          <w:szCs w:val="24"/>
        </w:rPr>
      </w:pPr>
    </w:p>
    <w:p w14:paraId="0B2B16CD" w14:textId="77777777" w:rsidR="004D76AB" w:rsidRPr="004D76AB" w:rsidRDefault="004D76AB" w:rsidP="004D76AB">
      <w:pPr>
        <w:pStyle w:val="Heading2"/>
        <w:rPr>
          <w:rFonts w:cs="Arial"/>
          <w:szCs w:val="24"/>
        </w:rPr>
      </w:pPr>
      <w:r w:rsidRPr="004D76AB">
        <w:rPr>
          <w:rFonts w:cs="Arial"/>
          <w:szCs w:val="24"/>
        </w:rPr>
        <w:t>Staff Question-10</w:t>
      </w:r>
    </w:p>
    <w:p w14:paraId="0F16647B" w14:textId="77777777" w:rsidR="004D76AB" w:rsidRPr="004D76AB" w:rsidRDefault="004D76AB" w:rsidP="004D76AB">
      <w:pPr>
        <w:rPr>
          <w:rFonts w:ascii="Arial" w:hAnsi="Arial" w:cs="Arial"/>
          <w:sz w:val="24"/>
          <w:szCs w:val="24"/>
        </w:rPr>
      </w:pPr>
      <w:r w:rsidRPr="004D76AB">
        <w:rPr>
          <w:rFonts w:ascii="Arial" w:hAnsi="Arial" w:cs="Arial"/>
          <w:sz w:val="24"/>
          <w:szCs w:val="24"/>
        </w:rPr>
        <w:t xml:space="preserve">Ref: </w:t>
      </w:r>
      <w:r w:rsidRPr="004D76AB">
        <w:rPr>
          <w:rFonts w:ascii="Arial" w:hAnsi="Arial" w:cs="Arial"/>
          <w:sz w:val="24"/>
          <w:szCs w:val="24"/>
        </w:rPr>
        <w:tab/>
        <w:t xml:space="preserve">(1) 2021 GA Analysis </w:t>
      </w:r>
      <w:proofErr w:type="spellStart"/>
      <w:r w:rsidRPr="004D76AB">
        <w:rPr>
          <w:rFonts w:ascii="Arial" w:hAnsi="Arial" w:cs="Arial"/>
          <w:sz w:val="24"/>
          <w:szCs w:val="24"/>
        </w:rPr>
        <w:t>Workform</w:t>
      </w:r>
      <w:proofErr w:type="spellEnd"/>
      <w:r w:rsidRPr="004D76AB">
        <w:rPr>
          <w:rFonts w:ascii="Arial" w:hAnsi="Arial" w:cs="Arial"/>
          <w:sz w:val="24"/>
          <w:szCs w:val="24"/>
        </w:rPr>
        <w:t>, Tabs 2017, 2018 and 2019</w:t>
      </w:r>
    </w:p>
    <w:p w14:paraId="69198A63" w14:textId="77777777" w:rsidR="004D76AB" w:rsidRPr="004D76AB" w:rsidRDefault="004D76AB" w:rsidP="004D76AB">
      <w:pPr>
        <w:rPr>
          <w:rFonts w:ascii="Arial" w:hAnsi="Arial" w:cs="Arial"/>
          <w:sz w:val="24"/>
          <w:szCs w:val="24"/>
        </w:rPr>
      </w:pPr>
      <w:r w:rsidRPr="004D76AB">
        <w:rPr>
          <w:rFonts w:ascii="Arial" w:hAnsi="Arial" w:cs="Arial"/>
          <w:sz w:val="24"/>
          <w:szCs w:val="24"/>
        </w:rPr>
        <w:t>Preamble:</w:t>
      </w:r>
    </w:p>
    <w:p w14:paraId="13DEF1A7" w14:textId="5B2C5319" w:rsidR="004D76AB" w:rsidRDefault="004D76AB" w:rsidP="004D76AB">
      <w:pPr>
        <w:autoSpaceDE w:val="0"/>
        <w:autoSpaceDN w:val="0"/>
        <w:adjustRightInd w:val="0"/>
        <w:spacing w:after="0"/>
        <w:rPr>
          <w:rFonts w:ascii="Arial" w:hAnsi="Arial" w:cs="Arial"/>
          <w:sz w:val="24"/>
          <w:szCs w:val="24"/>
        </w:rPr>
      </w:pPr>
      <w:r w:rsidRPr="004D76AB">
        <w:rPr>
          <w:rFonts w:ascii="Arial" w:hAnsi="Arial" w:cs="Arial"/>
          <w:sz w:val="24"/>
          <w:szCs w:val="24"/>
        </w:rPr>
        <w:t xml:space="preserve">In the GA Analysis </w:t>
      </w:r>
      <w:proofErr w:type="spellStart"/>
      <w:r w:rsidRPr="004D76AB">
        <w:rPr>
          <w:rFonts w:ascii="Arial" w:hAnsi="Arial" w:cs="Arial"/>
          <w:sz w:val="24"/>
          <w:szCs w:val="24"/>
        </w:rPr>
        <w:t>Workform</w:t>
      </w:r>
      <w:proofErr w:type="spellEnd"/>
      <w:r w:rsidRPr="004D76AB">
        <w:rPr>
          <w:rFonts w:ascii="Arial" w:hAnsi="Arial" w:cs="Arial"/>
          <w:sz w:val="24"/>
          <w:szCs w:val="24"/>
        </w:rPr>
        <w:t>, the description at line 6 labelled as “Differences in GA IESO Significant Prior Period Billing Adjustments Recorded in Current Year” includes the following adjustments:</w:t>
      </w:r>
    </w:p>
    <w:p w14:paraId="4E7CCE9B" w14:textId="77777777" w:rsidR="008167C6" w:rsidRPr="004D76AB" w:rsidRDefault="008167C6" w:rsidP="004D76AB">
      <w:pPr>
        <w:autoSpaceDE w:val="0"/>
        <w:autoSpaceDN w:val="0"/>
        <w:adjustRightInd w:val="0"/>
        <w:spacing w:after="0"/>
        <w:rPr>
          <w:rFonts w:ascii="Arial" w:hAnsi="Arial" w:cs="Arial"/>
          <w:sz w:val="24"/>
          <w:szCs w:val="24"/>
        </w:rPr>
      </w:pPr>
    </w:p>
    <w:p w14:paraId="6AE9468B" w14:textId="77777777" w:rsidR="004D76AB" w:rsidRPr="004D76AB" w:rsidRDefault="004D76AB" w:rsidP="00001518">
      <w:pPr>
        <w:pStyle w:val="ListParagraph"/>
        <w:numPr>
          <w:ilvl w:val="0"/>
          <w:numId w:val="21"/>
        </w:numPr>
        <w:spacing w:after="160"/>
        <w:rPr>
          <w:rFonts w:ascii="Arial" w:hAnsi="Arial" w:cs="Arial"/>
          <w:sz w:val="24"/>
          <w:szCs w:val="24"/>
        </w:rPr>
      </w:pPr>
      <w:r w:rsidRPr="004D76AB">
        <w:rPr>
          <w:rFonts w:ascii="Arial" w:hAnsi="Arial" w:cs="Arial"/>
          <w:sz w:val="24"/>
          <w:szCs w:val="24"/>
        </w:rPr>
        <w:t xml:space="preserve">the 2017 GA Analysis </w:t>
      </w:r>
      <w:proofErr w:type="spellStart"/>
      <w:r w:rsidRPr="004D76AB">
        <w:rPr>
          <w:rFonts w:ascii="Arial" w:hAnsi="Arial" w:cs="Arial"/>
          <w:sz w:val="24"/>
          <w:szCs w:val="24"/>
        </w:rPr>
        <w:t>Workform</w:t>
      </w:r>
      <w:proofErr w:type="spellEnd"/>
      <w:r w:rsidRPr="004D76AB">
        <w:rPr>
          <w:rFonts w:ascii="Arial" w:hAnsi="Arial" w:cs="Arial"/>
          <w:sz w:val="24"/>
          <w:szCs w:val="24"/>
        </w:rPr>
        <w:t xml:space="preserve"> shows a credit balance of $1,040,547</w:t>
      </w:r>
    </w:p>
    <w:p w14:paraId="12442927" w14:textId="77777777" w:rsidR="004D76AB" w:rsidRPr="004D76AB" w:rsidRDefault="004D76AB" w:rsidP="00001518">
      <w:pPr>
        <w:pStyle w:val="ListParagraph"/>
        <w:numPr>
          <w:ilvl w:val="0"/>
          <w:numId w:val="21"/>
        </w:numPr>
        <w:spacing w:after="160"/>
        <w:rPr>
          <w:rFonts w:ascii="Arial" w:hAnsi="Arial" w:cs="Arial"/>
          <w:sz w:val="24"/>
          <w:szCs w:val="24"/>
        </w:rPr>
      </w:pPr>
      <w:r w:rsidRPr="004D76AB">
        <w:rPr>
          <w:rFonts w:ascii="Arial" w:hAnsi="Arial" w:cs="Arial"/>
          <w:sz w:val="24"/>
          <w:szCs w:val="24"/>
        </w:rPr>
        <w:t xml:space="preserve">the 2018 GA Analysis </w:t>
      </w:r>
      <w:proofErr w:type="spellStart"/>
      <w:r w:rsidRPr="004D76AB">
        <w:rPr>
          <w:rFonts w:ascii="Arial" w:hAnsi="Arial" w:cs="Arial"/>
          <w:sz w:val="24"/>
          <w:szCs w:val="24"/>
        </w:rPr>
        <w:t>Workform</w:t>
      </w:r>
      <w:proofErr w:type="spellEnd"/>
      <w:r w:rsidRPr="004D76AB">
        <w:rPr>
          <w:rFonts w:ascii="Arial" w:hAnsi="Arial" w:cs="Arial"/>
          <w:sz w:val="24"/>
          <w:szCs w:val="24"/>
        </w:rPr>
        <w:t xml:space="preserve"> shows a credit balance of $139,914</w:t>
      </w:r>
    </w:p>
    <w:p w14:paraId="5BEB6AF3" w14:textId="77777777" w:rsidR="004D76AB" w:rsidRPr="004D76AB" w:rsidRDefault="004D76AB" w:rsidP="004D76AB">
      <w:pPr>
        <w:rPr>
          <w:rFonts w:ascii="Arial" w:hAnsi="Arial" w:cs="Arial"/>
          <w:sz w:val="24"/>
          <w:szCs w:val="24"/>
        </w:rPr>
      </w:pPr>
      <w:r w:rsidRPr="004D76AB">
        <w:rPr>
          <w:rFonts w:ascii="Arial" w:hAnsi="Arial" w:cs="Arial"/>
          <w:sz w:val="24"/>
          <w:szCs w:val="24"/>
        </w:rPr>
        <w:lastRenderedPageBreak/>
        <w:t>Question(s):</w:t>
      </w:r>
    </w:p>
    <w:p w14:paraId="7172C570" w14:textId="70EC3FA8" w:rsidR="004D76AB" w:rsidRPr="004D76AB" w:rsidRDefault="004D76AB" w:rsidP="00001518">
      <w:pPr>
        <w:pStyle w:val="ListParagraph"/>
        <w:numPr>
          <w:ilvl w:val="0"/>
          <w:numId w:val="18"/>
        </w:numPr>
        <w:spacing w:after="160"/>
        <w:rPr>
          <w:rFonts w:ascii="Arial" w:hAnsi="Arial" w:cs="Arial"/>
          <w:sz w:val="24"/>
          <w:szCs w:val="24"/>
        </w:rPr>
      </w:pPr>
      <w:r w:rsidRPr="004D76AB">
        <w:rPr>
          <w:rFonts w:ascii="Arial" w:hAnsi="Arial" w:cs="Arial"/>
          <w:sz w:val="24"/>
          <w:szCs w:val="24"/>
        </w:rPr>
        <w:t xml:space="preserve">Please provide a more </w:t>
      </w:r>
      <w:r w:rsidR="00946818">
        <w:rPr>
          <w:rFonts w:ascii="Arial" w:hAnsi="Arial" w:cs="Arial"/>
          <w:sz w:val="24"/>
          <w:szCs w:val="24"/>
        </w:rPr>
        <w:t>detailed</w:t>
      </w:r>
      <w:r w:rsidR="00946818" w:rsidRPr="004D76AB">
        <w:rPr>
          <w:rFonts w:ascii="Arial" w:hAnsi="Arial" w:cs="Arial"/>
          <w:sz w:val="24"/>
          <w:szCs w:val="24"/>
        </w:rPr>
        <w:t xml:space="preserve"> </w:t>
      </w:r>
      <w:r w:rsidRPr="004D76AB">
        <w:rPr>
          <w:rFonts w:ascii="Arial" w:hAnsi="Arial" w:cs="Arial"/>
          <w:sz w:val="24"/>
          <w:szCs w:val="24"/>
        </w:rPr>
        <w:t xml:space="preserve">explanation regarding these amounts on line 6 of both the 2017 GA Analysis </w:t>
      </w:r>
      <w:proofErr w:type="spellStart"/>
      <w:r w:rsidRPr="004D76AB">
        <w:rPr>
          <w:rFonts w:ascii="Arial" w:hAnsi="Arial" w:cs="Arial"/>
          <w:sz w:val="24"/>
          <w:szCs w:val="24"/>
        </w:rPr>
        <w:t>Workform</w:t>
      </w:r>
      <w:proofErr w:type="spellEnd"/>
      <w:r w:rsidRPr="004D76AB">
        <w:rPr>
          <w:rFonts w:ascii="Arial" w:hAnsi="Arial" w:cs="Arial"/>
          <w:sz w:val="24"/>
          <w:szCs w:val="24"/>
        </w:rPr>
        <w:t xml:space="preserve"> and the 2018 GA Analysis </w:t>
      </w:r>
      <w:proofErr w:type="spellStart"/>
      <w:r w:rsidRPr="004D76AB">
        <w:rPr>
          <w:rFonts w:ascii="Arial" w:hAnsi="Arial" w:cs="Arial"/>
          <w:sz w:val="24"/>
          <w:szCs w:val="24"/>
        </w:rPr>
        <w:t>Workform</w:t>
      </w:r>
      <w:proofErr w:type="spellEnd"/>
      <w:r w:rsidRPr="004D76AB">
        <w:rPr>
          <w:rFonts w:ascii="Arial" w:hAnsi="Arial" w:cs="Arial"/>
          <w:sz w:val="24"/>
          <w:szCs w:val="24"/>
        </w:rPr>
        <w:t>.</w:t>
      </w:r>
    </w:p>
    <w:p w14:paraId="5B0D5FBC" w14:textId="77777777" w:rsidR="004D76AB" w:rsidRPr="004D76AB" w:rsidRDefault="004D76AB" w:rsidP="004D76AB">
      <w:pPr>
        <w:pStyle w:val="ListParagraph"/>
        <w:rPr>
          <w:rFonts w:ascii="Arial" w:hAnsi="Arial" w:cs="Arial"/>
          <w:sz w:val="24"/>
          <w:szCs w:val="24"/>
        </w:rPr>
      </w:pPr>
    </w:p>
    <w:p w14:paraId="2B1E877D" w14:textId="77777777" w:rsidR="004D76AB" w:rsidRPr="004D76AB" w:rsidRDefault="004D76AB" w:rsidP="00001518">
      <w:pPr>
        <w:pStyle w:val="ListParagraph"/>
        <w:numPr>
          <w:ilvl w:val="0"/>
          <w:numId w:val="18"/>
        </w:numPr>
        <w:spacing w:after="160"/>
        <w:rPr>
          <w:rFonts w:ascii="Arial" w:hAnsi="Arial" w:cs="Arial"/>
          <w:sz w:val="24"/>
          <w:szCs w:val="24"/>
        </w:rPr>
      </w:pPr>
      <w:r w:rsidRPr="004D76AB">
        <w:rPr>
          <w:rFonts w:ascii="Arial" w:hAnsi="Arial" w:cs="Arial"/>
          <w:sz w:val="24"/>
          <w:szCs w:val="24"/>
        </w:rPr>
        <w:t>Please describe whether these amounts of a credit balance of $1,040,547 for 2017 and a credit balance of $139,914 for 2018 also impact Account 1588 and quantify these impacts.</w:t>
      </w:r>
    </w:p>
    <w:p w14:paraId="4D40983B" w14:textId="77777777" w:rsidR="004D76AB" w:rsidRPr="004D76AB" w:rsidRDefault="004D76AB" w:rsidP="004D76AB">
      <w:pPr>
        <w:pStyle w:val="ListParagraph"/>
        <w:autoSpaceDE w:val="0"/>
        <w:autoSpaceDN w:val="0"/>
        <w:adjustRightInd w:val="0"/>
        <w:spacing w:after="0"/>
        <w:rPr>
          <w:rFonts w:ascii="Arial" w:hAnsi="Arial" w:cs="Arial"/>
          <w:sz w:val="24"/>
          <w:szCs w:val="24"/>
        </w:rPr>
      </w:pPr>
    </w:p>
    <w:p w14:paraId="421CF6C3" w14:textId="77777777" w:rsidR="004D76AB" w:rsidRPr="004D76AB" w:rsidRDefault="004D76AB" w:rsidP="00001518">
      <w:pPr>
        <w:pStyle w:val="ListParagraph"/>
        <w:numPr>
          <w:ilvl w:val="0"/>
          <w:numId w:val="18"/>
        </w:numPr>
        <w:autoSpaceDE w:val="0"/>
        <w:autoSpaceDN w:val="0"/>
        <w:adjustRightInd w:val="0"/>
        <w:spacing w:after="0"/>
        <w:rPr>
          <w:rFonts w:ascii="Arial" w:hAnsi="Arial" w:cs="Arial"/>
          <w:sz w:val="24"/>
          <w:szCs w:val="24"/>
        </w:rPr>
      </w:pPr>
      <w:r w:rsidRPr="004D76AB">
        <w:rPr>
          <w:rFonts w:ascii="Arial" w:hAnsi="Arial" w:cs="Arial"/>
          <w:sz w:val="24"/>
          <w:szCs w:val="24"/>
        </w:rPr>
        <w:t>Please confirm in what years the above noted Account 1589 amounts were</w:t>
      </w:r>
    </w:p>
    <w:p w14:paraId="6C335CD2" w14:textId="77777777" w:rsidR="004D76AB" w:rsidRPr="004D76AB" w:rsidRDefault="004D76AB" w:rsidP="004D76AB">
      <w:pPr>
        <w:pStyle w:val="ListParagraph"/>
        <w:autoSpaceDE w:val="0"/>
        <w:autoSpaceDN w:val="0"/>
        <w:adjustRightInd w:val="0"/>
        <w:spacing w:after="0"/>
        <w:rPr>
          <w:rFonts w:ascii="Arial" w:hAnsi="Arial" w:cs="Arial"/>
          <w:sz w:val="24"/>
          <w:szCs w:val="24"/>
        </w:rPr>
      </w:pPr>
      <w:r w:rsidRPr="004D76AB">
        <w:rPr>
          <w:rFonts w:ascii="Arial" w:hAnsi="Arial" w:cs="Arial"/>
          <w:sz w:val="24"/>
          <w:szCs w:val="24"/>
        </w:rPr>
        <w:t>recorded in London Hydro’s general ledger, including any amounts also recorded</w:t>
      </w:r>
    </w:p>
    <w:p w14:paraId="097CD728" w14:textId="77777777" w:rsidR="004D76AB" w:rsidRPr="004D76AB" w:rsidRDefault="004D76AB" w:rsidP="004D76AB">
      <w:pPr>
        <w:pStyle w:val="ListParagraph"/>
        <w:rPr>
          <w:rFonts w:ascii="Arial" w:hAnsi="Arial" w:cs="Arial"/>
          <w:sz w:val="24"/>
          <w:szCs w:val="24"/>
        </w:rPr>
      </w:pPr>
      <w:r w:rsidRPr="004D76AB">
        <w:rPr>
          <w:rFonts w:ascii="Arial" w:hAnsi="Arial" w:cs="Arial"/>
          <w:sz w:val="24"/>
          <w:szCs w:val="24"/>
        </w:rPr>
        <w:t>in Account 1588.</w:t>
      </w:r>
    </w:p>
    <w:p w14:paraId="1556DE8B" w14:textId="77777777" w:rsidR="004D76AB" w:rsidRPr="004D76AB" w:rsidRDefault="004D76AB" w:rsidP="004D76AB">
      <w:pPr>
        <w:rPr>
          <w:rFonts w:ascii="Arial" w:hAnsi="Arial" w:cs="Arial"/>
          <w:sz w:val="24"/>
          <w:szCs w:val="24"/>
        </w:rPr>
      </w:pPr>
    </w:p>
    <w:p w14:paraId="40A43923" w14:textId="77777777" w:rsidR="004D76AB" w:rsidRPr="004D76AB" w:rsidRDefault="004D76AB" w:rsidP="004D76AB">
      <w:pPr>
        <w:pStyle w:val="Heading2"/>
        <w:rPr>
          <w:rFonts w:cs="Arial"/>
          <w:szCs w:val="24"/>
        </w:rPr>
      </w:pPr>
      <w:r w:rsidRPr="004D76AB">
        <w:rPr>
          <w:rFonts w:cs="Arial"/>
          <w:szCs w:val="24"/>
        </w:rPr>
        <w:t>Staff Question-11</w:t>
      </w:r>
    </w:p>
    <w:p w14:paraId="7730C7DB" w14:textId="77777777" w:rsidR="004D76AB" w:rsidRPr="004D76AB" w:rsidRDefault="004D76AB" w:rsidP="004D76AB">
      <w:pPr>
        <w:rPr>
          <w:rFonts w:ascii="Arial" w:hAnsi="Arial" w:cs="Arial"/>
          <w:sz w:val="24"/>
          <w:szCs w:val="24"/>
        </w:rPr>
      </w:pPr>
      <w:r w:rsidRPr="004D76AB">
        <w:rPr>
          <w:rFonts w:ascii="Arial" w:hAnsi="Arial" w:cs="Arial"/>
          <w:sz w:val="24"/>
          <w:szCs w:val="24"/>
        </w:rPr>
        <w:t>Ref:</w:t>
      </w:r>
      <w:r w:rsidRPr="004D76AB">
        <w:rPr>
          <w:rFonts w:ascii="Arial" w:hAnsi="Arial" w:cs="Arial"/>
          <w:sz w:val="24"/>
          <w:szCs w:val="24"/>
        </w:rPr>
        <w:tab/>
        <w:t xml:space="preserve">(1) 2021 GA Analysis </w:t>
      </w:r>
      <w:proofErr w:type="spellStart"/>
      <w:r w:rsidRPr="004D76AB">
        <w:rPr>
          <w:rFonts w:ascii="Arial" w:hAnsi="Arial" w:cs="Arial"/>
          <w:sz w:val="24"/>
          <w:szCs w:val="24"/>
        </w:rPr>
        <w:t>Workform</w:t>
      </w:r>
      <w:proofErr w:type="spellEnd"/>
      <w:r w:rsidRPr="004D76AB">
        <w:rPr>
          <w:rFonts w:ascii="Arial" w:hAnsi="Arial" w:cs="Arial"/>
          <w:sz w:val="24"/>
          <w:szCs w:val="24"/>
        </w:rPr>
        <w:t>, Tabs 2017, 2018 and 2019</w:t>
      </w:r>
    </w:p>
    <w:p w14:paraId="25701C17" w14:textId="77777777" w:rsidR="004D76AB" w:rsidRPr="004D76AB" w:rsidRDefault="004D76AB" w:rsidP="004D76AB">
      <w:pPr>
        <w:autoSpaceDE w:val="0"/>
        <w:autoSpaceDN w:val="0"/>
        <w:adjustRightInd w:val="0"/>
        <w:spacing w:after="0"/>
        <w:rPr>
          <w:rFonts w:ascii="Arial" w:hAnsi="Arial" w:cs="Arial"/>
          <w:sz w:val="24"/>
          <w:szCs w:val="24"/>
        </w:rPr>
      </w:pPr>
      <w:r w:rsidRPr="004D76AB">
        <w:rPr>
          <w:rFonts w:ascii="Arial" w:hAnsi="Arial" w:cs="Arial"/>
          <w:sz w:val="24"/>
          <w:szCs w:val="24"/>
        </w:rPr>
        <w:t>Preamble:</w:t>
      </w:r>
    </w:p>
    <w:p w14:paraId="58F257D3" w14:textId="77777777" w:rsidR="004D76AB" w:rsidRPr="004D76AB" w:rsidRDefault="004D76AB" w:rsidP="004D76AB">
      <w:pPr>
        <w:autoSpaceDE w:val="0"/>
        <w:autoSpaceDN w:val="0"/>
        <w:adjustRightInd w:val="0"/>
        <w:spacing w:after="0"/>
        <w:rPr>
          <w:rFonts w:ascii="Arial" w:hAnsi="Arial" w:cs="Arial"/>
          <w:sz w:val="24"/>
          <w:szCs w:val="24"/>
        </w:rPr>
      </w:pPr>
    </w:p>
    <w:p w14:paraId="64201FB4" w14:textId="77777777" w:rsidR="004D76AB" w:rsidRPr="004D76AB" w:rsidRDefault="004D76AB" w:rsidP="004D76AB">
      <w:pPr>
        <w:autoSpaceDE w:val="0"/>
        <w:autoSpaceDN w:val="0"/>
        <w:adjustRightInd w:val="0"/>
        <w:spacing w:after="0"/>
        <w:rPr>
          <w:rFonts w:ascii="Arial" w:hAnsi="Arial" w:cs="Arial"/>
          <w:sz w:val="24"/>
          <w:szCs w:val="24"/>
        </w:rPr>
      </w:pPr>
      <w:r w:rsidRPr="004D76AB">
        <w:rPr>
          <w:rFonts w:ascii="Arial" w:hAnsi="Arial" w:cs="Arial"/>
          <w:sz w:val="24"/>
          <w:szCs w:val="24"/>
        </w:rPr>
        <w:t xml:space="preserve">In the GA Analysis </w:t>
      </w:r>
      <w:proofErr w:type="spellStart"/>
      <w:r w:rsidRPr="004D76AB">
        <w:rPr>
          <w:rFonts w:ascii="Arial" w:hAnsi="Arial" w:cs="Arial"/>
          <w:sz w:val="24"/>
          <w:szCs w:val="24"/>
        </w:rPr>
        <w:t>Workform</w:t>
      </w:r>
      <w:proofErr w:type="spellEnd"/>
      <w:r w:rsidRPr="004D76AB">
        <w:rPr>
          <w:rFonts w:ascii="Arial" w:hAnsi="Arial" w:cs="Arial"/>
          <w:sz w:val="24"/>
          <w:szCs w:val="24"/>
        </w:rPr>
        <w:t xml:space="preserve">, the description at line 9 labelled as “New Comm </w:t>
      </w:r>
      <w:proofErr w:type="spellStart"/>
      <w:r w:rsidRPr="004D76AB">
        <w:rPr>
          <w:rFonts w:ascii="Arial" w:hAnsi="Arial" w:cs="Arial"/>
          <w:sz w:val="24"/>
          <w:szCs w:val="24"/>
        </w:rPr>
        <w:t>Acctg</w:t>
      </w:r>
      <w:proofErr w:type="spellEnd"/>
      <w:r w:rsidRPr="004D76AB">
        <w:rPr>
          <w:rFonts w:ascii="Arial" w:hAnsi="Arial" w:cs="Arial"/>
          <w:sz w:val="24"/>
          <w:szCs w:val="24"/>
        </w:rPr>
        <w:t xml:space="preserve"> Guidance - switch from Method B” includes the following adjustments:</w:t>
      </w:r>
    </w:p>
    <w:p w14:paraId="3F6D255E" w14:textId="77777777" w:rsidR="004D76AB" w:rsidRPr="004D76AB" w:rsidRDefault="004D76AB" w:rsidP="00001518">
      <w:pPr>
        <w:pStyle w:val="ListParagraph"/>
        <w:numPr>
          <w:ilvl w:val="0"/>
          <w:numId w:val="19"/>
        </w:numPr>
        <w:autoSpaceDE w:val="0"/>
        <w:autoSpaceDN w:val="0"/>
        <w:adjustRightInd w:val="0"/>
        <w:spacing w:after="0"/>
        <w:rPr>
          <w:rFonts w:ascii="Arial" w:hAnsi="Arial" w:cs="Arial"/>
          <w:sz w:val="24"/>
          <w:szCs w:val="24"/>
        </w:rPr>
      </w:pPr>
      <w:r w:rsidRPr="004D76AB">
        <w:rPr>
          <w:rFonts w:ascii="Arial" w:hAnsi="Arial" w:cs="Arial"/>
          <w:sz w:val="24"/>
          <w:szCs w:val="24"/>
        </w:rPr>
        <w:t xml:space="preserve">the 2017 GA Analysis </w:t>
      </w:r>
      <w:proofErr w:type="spellStart"/>
      <w:r w:rsidRPr="004D76AB">
        <w:rPr>
          <w:rFonts w:ascii="Arial" w:hAnsi="Arial" w:cs="Arial"/>
          <w:sz w:val="24"/>
          <w:szCs w:val="24"/>
        </w:rPr>
        <w:t>Workform</w:t>
      </w:r>
      <w:proofErr w:type="spellEnd"/>
      <w:r w:rsidRPr="004D76AB">
        <w:rPr>
          <w:rFonts w:ascii="Arial" w:hAnsi="Arial" w:cs="Arial"/>
          <w:sz w:val="24"/>
          <w:szCs w:val="24"/>
        </w:rPr>
        <w:t xml:space="preserve"> shows a credit balance of $664,343</w:t>
      </w:r>
    </w:p>
    <w:p w14:paraId="593F4CFB" w14:textId="77777777" w:rsidR="004D76AB" w:rsidRPr="004D76AB" w:rsidRDefault="004D76AB" w:rsidP="00001518">
      <w:pPr>
        <w:pStyle w:val="ListParagraph"/>
        <w:numPr>
          <w:ilvl w:val="0"/>
          <w:numId w:val="19"/>
        </w:numPr>
        <w:autoSpaceDE w:val="0"/>
        <w:autoSpaceDN w:val="0"/>
        <w:adjustRightInd w:val="0"/>
        <w:spacing w:after="0"/>
        <w:rPr>
          <w:rFonts w:ascii="Arial" w:hAnsi="Arial" w:cs="Arial"/>
          <w:sz w:val="24"/>
          <w:szCs w:val="24"/>
        </w:rPr>
      </w:pPr>
      <w:r w:rsidRPr="004D76AB">
        <w:rPr>
          <w:rFonts w:ascii="Arial" w:hAnsi="Arial" w:cs="Arial"/>
          <w:sz w:val="24"/>
          <w:szCs w:val="24"/>
        </w:rPr>
        <w:t xml:space="preserve">the 2018 GA Analysis </w:t>
      </w:r>
      <w:proofErr w:type="spellStart"/>
      <w:r w:rsidRPr="004D76AB">
        <w:rPr>
          <w:rFonts w:ascii="Arial" w:hAnsi="Arial" w:cs="Arial"/>
          <w:sz w:val="24"/>
          <w:szCs w:val="24"/>
        </w:rPr>
        <w:t>Workform</w:t>
      </w:r>
      <w:proofErr w:type="spellEnd"/>
      <w:r w:rsidRPr="004D76AB">
        <w:rPr>
          <w:rFonts w:ascii="Arial" w:hAnsi="Arial" w:cs="Arial"/>
          <w:sz w:val="24"/>
          <w:szCs w:val="24"/>
        </w:rPr>
        <w:t xml:space="preserve"> shows a credit balance of $355,619</w:t>
      </w:r>
    </w:p>
    <w:p w14:paraId="6C791E1C" w14:textId="77777777" w:rsidR="004D76AB" w:rsidRPr="004D76AB" w:rsidRDefault="004D76AB" w:rsidP="004D76AB">
      <w:pPr>
        <w:autoSpaceDE w:val="0"/>
        <w:autoSpaceDN w:val="0"/>
        <w:adjustRightInd w:val="0"/>
        <w:spacing w:after="0"/>
        <w:rPr>
          <w:rFonts w:ascii="Arial" w:hAnsi="Arial" w:cs="Arial"/>
          <w:sz w:val="24"/>
          <w:szCs w:val="24"/>
        </w:rPr>
      </w:pPr>
    </w:p>
    <w:p w14:paraId="7D850BB5" w14:textId="77777777" w:rsidR="004D76AB" w:rsidRPr="004D76AB" w:rsidRDefault="004D76AB" w:rsidP="004D76AB">
      <w:pPr>
        <w:autoSpaceDE w:val="0"/>
        <w:autoSpaceDN w:val="0"/>
        <w:adjustRightInd w:val="0"/>
        <w:spacing w:after="0"/>
        <w:rPr>
          <w:rFonts w:ascii="Arial" w:hAnsi="Arial" w:cs="Arial"/>
          <w:sz w:val="24"/>
          <w:szCs w:val="24"/>
        </w:rPr>
      </w:pPr>
      <w:r w:rsidRPr="004D76AB">
        <w:rPr>
          <w:rFonts w:ascii="Arial" w:hAnsi="Arial" w:cs="Arial"/>
          <w:sz w:val="24"/>
          <w:szCs w:val="24"/>
        </w:rPr>
        <w:t xml:space="preserve">At line 9 in the “Explanation” column, London Hydro included the same explanation in both the 2017 GA Analysis </w:t>
      </w:r>
      <w:proofErr w:type="spellStart"/>
      <w:r w:rsidRPr="004D76AB">
        <w:rPr>
          <w:rFonts w:ascii="Arial" w:hAnsi="Arial" w:cs="Arial"/>
          <w:sz w:val="24"/>
          <w:szCs w:val="24"/>
        </w:rPr>
        <w:t>Workform</w:t>
      </w:r>
      <w:proofErr w:type="spellEnd"/>
      <w:r w:rsidRPr="004D76AB">
        <w:rPr>
          <w:rFonts w:ascii="Arial" w:hAnsi="Arial" w:cs="Arial"/>
          <w:sz w:val="24"/>
          <w:szCs w:val="24"/>
        </w:rPr>
        <w:t xml:space="preserve"> and the 2018 GA Analysis </w:t>
      </w:r>
      <w:proofErr w:type="spellStart"/>
      <w:r w:rsidRPr="004D76AB">
        <w:rPr>
          <w:rFonts w:ascii="Arial" w:hAnsi="Arial" w:cs="Arial"/>
          <w:sz w:val="24"/>
          <w:szCs w:val="24"/>
        </w:rPr>
        <w:t>Workform</w:t>
      </w:r>
      <w:proofErr w:type="spellEnd"/>
      <w:r w:rsidRPr="004D76AB">
        <w:rPr>
          <w:rFonts w:ascii="Arial" w:hAnsi="Arial" w:cs="Arial"/>
          <w:sz w:val="24"/>
          <w:szCs w:val="24"/>
        </w:rPr>
        <w:t>:</w:t>
      </w:r>
    </w:p>
    <w:p w14:paraId="741F228D" w14:textId="77777777" w:rsidR="004D76AB" w:rsidRPr="004D76AB" w:rsidRDefault="004D76AB" w:rsidP="004D76AB">
      <w:pPr>
        <w:autoSpaceDE w:val="0"/>
        <w:autoSpaceDN w:val="0"/>
        <w:adjustRightInd w:val="0"/>
        <w:spacing w:after="0"/>
        <w:rPr>
          <w:rFonts w:ascii="Arial" w:hAnsi="Arial" w:cs="Arial"/>
          <w:sz w:val="24"/>
          <w:szCs w:val="24"/>
        </w:rPr>
      </w:pPr>
    </w:p>
    <w:p w14:paraId="697D688A" w14:textId="77777777" w:rsidR="004D76AB" w:rsidRPr="004D76AB" w:rsidRDefault="004D76AB" w:rsidP="004D76AB">
      <w:pPr>
        <w:autoSpaceDE w:val="0"/>
        <w:autoSpaceDN w:val="0"/>
        <w:adjustRightInd w:val="0"/>
        <w:spacing w:after="0"/>
        <w:rPr>
          <w:rFonts w:ascii="Arial" w:hAnsi="Arial" w:cs="Arial"/>
          <w:b/>
          <w:bCs/>
          <w:sz w:val="24"/>
          <w:szCs w:val="24"/>
        </w:rPr>
      </w:pPr>
      <w:r w:rsidRPr="004D76AB">
        <w:rPr>
          <w:rFonts w:ascii="Arial" w:hAnsi="Arial" w:cs="Arial"/>
          <w:sz w:val="24"/>
          <w:szCs w:val="24"/>
        </w:rPr>
        <w:t xml:space="preserve">“CT 148 GA cost and CT 142 GA credit related to RPP portion, to be moved to 1588 per New Commodity Accounting Guidance - booked in 2019.” </w:t>
      </w:r>
    </w:p>
    <w:p w14:paraId="3BEEAC1B" w14:textId="77777777" w:rsidR="0069530C" w:rsidRDefault="0069530C" w:rsidP="0069530C">
      <w:pPr>
        <w:pStyle w:val="NoSpacing"/>
      </w:pPr>
    </w:p>
    <w:p w14:paraId="777F91E0" w14:textId="29BC6801" w:rsidR="004D76AB" w:rsidRPr="004D76AB" w:rsidRDefault="004D76AB" w:rsidP="004D76AB">
      <w:pPr>
        <w:rPr>
          <w:rFonts w:ascii="Arial" w:hAnsi="Arial" w:cs="Arial"/>
          <w:sz w:val="24"/>
          <w:szCs w:val="24"/>
        </w:rPr>
      </w:pPr>
      <w:r w:rsidRPr="004D76AB">
        <w:rPr>
          <w:rFonts w:ascii="Arial" w:hAnsi="Arial" w:cs="Arial"/>
          <w:sz w:val="24"/>
          <w:szCs w:val="24"/>
        </w:rPr>
        <w:t>Question(s):</w:t>
      </w:r>
    </w:p>
    <w:p w14:paraId="740C4385" w14:textId="3252F749" w:rsidR="004D76AB" w:rsidRPr="004D76AB" w:rsidRDefault="004D76AB" w:rsidP="00001518">
      <w:pPr>
        <w:pStyle w:val="ListParagraph"/>
        <w:numPr>
          <w:ilvl w:val="0"/>
          <w:numId w:val="20"/>
        </w:numPr>
        <w:spacing w:after="160"/>
        <w:rPr>
          <w:rFonts w:ascii="Arial" w:hAnsi="Arial" w:cs="Arial"/>
          <w:sz w:val="24"/>
          <w:szCs w:val="24"/>
        </w:rPr>
      </w:pPr>
      <w:r w:rsidRPr="004D76AB">
        <w:rPr>
          <w:rFonts w:ascii="Arial" w:hAnsi="Arial" w:cs="Arial"/>
          <w:sz w:val="24"/>
          <w:szCs w:val="24"/>
        </w:rPr>
        <w:t xml:space="preserve">Please provide a more </w:t>
      </w:r>
      <w:r w:rsidR="00946818">
        <w:rPr>
          <w:rFonts w:ascii="Arial" w:hAnsi="Arial" w:cs="Arial"/>
          <w:sz w:val="24"/>
          <w:szCs w:val="24"/>
        </w:rPr>
        <w:t xml:space="preserve">detailed </w:t>
      </w:r>
      <w:r w:rsidRPr="004D76AB">
        <w:rPr>
          <w:rFonts w:ascii="Arial" w:hAnsi="Arial" w:cs="Arial"/>
          <w:sz w:val="24"/>
          <w:szCs w:val="24"/>
        </w:rPr>
        <w:t xml:space="preserve">explanation regarding these amounts on line 9 of both the 2017 and the 2018 GA Analysis </w:t>
      </w:r>
      <w:proofErr w:type="spellStart"/>
      <w:r w:rsidRPr="004D76AB">
        <w:rPr>
          <w:rFonts w:ascii="Arial" w:hAnsi="Arial" w:cs="Arial"/>
          <w:sz w:val="24"/>
          <w:szCs w:val="24"/>
        </w:rPr>
        <w:t>Workforms</w:t>
      </w:r>
      <w:proofErr w:type="spellEnd"/>
      <w:r w:rsidRPr="004D76AB">
        <w:rPr>
          <w:rFonts w:ascii="Arial" w:hAnsi="Arial" w:cs="Arial"/>
          <w:sz w:val="24"/>
          <w:szCs w:val="24"/>
        </w:rPr>
        <w:t>.</w:t>
      </w:r>
    </w:p>
    <w:p w14:paraId="15873CFB" w14:textId="77777777" w:rsidR="004D76AB" w:rsidRPr="004D76AB" w:rsidRDefault="004D76AB" w:rsidP="004D76AB">
      <w:pPr>
        <w:pStyle w:val="ListParagraph"/>
        <w:rPr>
          <w:rFonts w:ascii="Arial" w:hAnsi="Arial" w:cs="Arial"/>
          <w:sz w:val="24"/>
          <w:szCs w:val="24"/>
        </w:rPr>
      </w:pPr>
    </w:p>
    <w:p w14:paraId="003B1FCF" w14:textId="77777777" w:rsidR="004D76AB" w:rsidRPr="004D76AB" w:rsidRDefault="004D76AB" w:rsidP="00001518">
      <w:pPr>
        <w:pStyle w:val="ListParagraph"/>
        <w:numPr>
          <w:ilvl w:val="0"/>
          <w:numId w:val="20"/>
        </w:numPr>
        <w:spacing w:after="160"/>
        <w:rPr>
          <w:rFonts w:ascii="Arial" w:hAnsi="Arial" w:cs="Arial"/>
          <w:sz w:val="24"/>
          <w:szCs w:val="24"/>
        </w:rPr>
      </w:pPr>
      <w:r w:rsidRPr="004D76AB">
        <w:rPr>
          <w:rFonts w:ascii="Arial" w:hAnsi="Arial" w:cs="Arial"/>
          <w:sz w:val="24"/>
          <w:szCs w:val="24"/>
        </w:rPr>
        <w:t>Please describe whether these amounts of a credit balance of $664,343 for 2017 and a credit balance of $355,619 for 2018 also impact Account 1588 and quantify these impacts.</w:t>
      </w:r>
    </w:p>
    <w:p w14:paraId="77400BA2" w14:textId="77777777" w:rsidR="004D76AB" w:rsidRPr="004D76AB" w:rsidRDefault="004D76AB" w:rsidP="004D76AB">
      <w:pPr>
        <w:pStyle w:val="ListParagraph"/>
        <w:rPr>
          <w:rFonts w:ascii="Arial" w:hAnsi="Arial" w:cs="Arial"/>
          <w:sz w:val="24"/>
          <w:szCs w:val="24"/>
        </w:rPr>
      </w:pPr>
    </w:p>
    <w:p w14:paraId="6F0B31F9" w14:textId="77777777" w:rsidR="004D76AB" w:rsidRPr="004D76AB" w:rsidRDefault="004D76AB" w:rsidP="00001518">
      <w:pPr>
        <w:pStyle w:val="ListParagraph"/>
        <w:numPr>
          <w:ilvl w:val="0"/>
          <w:numId w:val="20"/>
        </w:numPr>
        <w:spacing w:after="160"/>
        <w:rPr>
          <w:rFonts w:ascii="Arial" w:hAnsi="Arial" w:cs="Arial"/>
          <w:sz w:val="24"/>
          <w:szCs w:val="24"/>
        </w:rPr>
      </w:pPr>
      <w:r w:rsidRPr="004D76AB">
        <w:rPr>
          <w:rFonts w:ascii="Arial" w:hAnsi="Arial" w:cs="Arial"/>
          <w:sz w:val="24"/>
          <w:szCs w:val="24"/>
        </w:rPr>
        <w:lastRenderedPageBreak/>
        <w:t>Please explain in what years the above noted Account 1589 amounts were recorded in London Hydro’s general ledger, including any amounts also recorded in Account 1588.</w:t>
      </w:r>
    </w:p>
    <w:p w14:paraId="542F987C" w14:textId="77777777" w:rsidR="000F5CD4" w:rsidRDefault="000F5CD4" w:rsidP="000F5CD4">
      <w:pPr>
        <w:rPr>
          <w:rFonts w:ascii="Arial" w:hAnsi="Arial" w:cs="Arial"/>
          <w:b/>
          <w:sz w:val="24"/>
          <w:szCs w:val="24"/>
        </w:rPr>
      </w:pPr>
    </w:p>
    <w:p w14:paraId="40F9BAAB" w14:textId="2C524894" w:rsidR="000F5CD4" w:rsidRPr="00F335A1" w:rsidRDefault="000F5CD4" w:rsidP="00F335A1">
      <w:pPr>
        <w:pStyle w:val="Heading2"/>
        <w:rPr>
          <w:rFonts w:cs="Arial"/>
          <w:szCs w:val="24"/>
        </w:rPr>
      </w:pPr>
      <w:r w:rsidRPr="00F335A1">
        <w:rPr>
          <w:rFonts w:cs="Arial"/>
          <w:szCs w:val="24"/>
        </w:rPr>
        <w:t>Staff Question-</w:t>
      </w:r>
      <w:r w:rsidR="0069530C">
        <w:rPr>
          <w:rFonts w:cs="Arial"/>
          <w:szCs w:val="24"/>
        </w:rPr>
        <w:t>12</w:t>
      </w:r>
    </w:p>
    <w:p w14:paraId="477B01FF" w14:textId="33E56AAF" w:rsidR="000F5CD4" w:rsidRPr="00F335A1" w:rsidRDefault="000F5CD4" w:rsidP="00F335A1">
      <w:pPr>
        <w:autoSpaceDE w:val="0"/>
        <w:autoSpaceDN w:val="0"/>
        <w:adjustRightInd w:val="0"/>
        <w:spacing w:after="0"/>
        <w:rPr>
          <w:rFonts w:ascii="Arial" w:hAnsi="Arial" w:cs="Arial"/>
          <w:sz w:val="24"/>
          <w:szCs w:val="24"/>
        </w:rPr>
      </w:pPr>
      <w:r w:rsidRPr="00F335A1">
        <w:rPr>
          <w:rFonts w:ascii="Arial" w:hAnsi="Arial" w:cs="Arial"/>
          <w:sz w:val="24"/>
          <w:szCs w:val="24"/>
        </w:rPr>
        <w:t>Ref:</w:t>
      </w:r>
      <w:r w:rsidRPr="00F335A1">
        <w:rPr>
          <w:rFonts w:ascii="Arial" w:hAnsi="Arial" w:cs="Arial"/>
          <w:sz w:val="24"/>
          <w:szCs w:val="24"/>
        </w:rPr>
        <w:tab/>
      </w:r>
      <w:r w:rsidR="005675D3" w:rsidRPr="00F335A1">
        <w:rPr>
          <w:rFonts w:ascii="Arial" w:hAnsi="Arial" w:cs="Arial"/>
          <w:sz w:val="24"/>
          <w:szCs w:val="24"/>
        </w:rPr>
        <w:t xml:space="preserve">(1) </w:t>
      </w:r>
      <w:r w:rsidR="00C85F6E" w:rsidRPr="00F335A1">
        <w:rPr>
          <w:rFonts w:ascii="Arial" w:hAnsi="Arial" w:cs="Arial"/>
          <w:sz w:val="24"/>
          <w:szCs w:val="24"/>
        </w:rPr>
        <w:t xml:space="preserve">Rate Generator Model, dated Jan </w:t>
      </w:r>
      <w:proofErr w:type="gramStart"/>
      <w:r w:rsidR="00C85F6E" w:rsidRPr="00F335A1">
        <w:rPr>
          <w:rFonts w:ascii="Arial" w:hAnsi="Arial" w:cs="Arial"/>
          <w:sz w:val="24"/>
          <w:szCs w:val="24"/>
        </w:rPr>
        <w:t>2</w:t>
      </w:r>
      <w:r w:rsidR="00644305">
        <w:rPr>
          <w:rFonts w:ascii="Arial" w:hAnsi="Arial" w:cs="Arial"/>
          <w:sz w:val="24"/>
          <w:szCs w:val="24"/>
        </w:rPr>
        <w:t>5</w:t>
      </w:r>
      <w:proofErr w:type="gramEnd"/>
      <w:r w:rsidR="00C85F6E" w:rsidRPr="00F335A1">
        <w:rPr>
          <w:rFonts w:ascii="Arial" w:hAnsi="Arial" w:cs="Arial"/>
          <w:sz w:val="24"/>
          <w:szCs w:val="24"/>
        </w:rPr>
        <w:t xml:space="preserve"> 2021 (attach</w:t>
      </w:r>
      <w:r w:rsidR="00E17288">
        <w:rPr>
          <w:rFonts w:ascii="Arial" w:hAnsi="Arial" w:cs="Arial"/>
          <w:sz w:val="24"/>
          <w:szCs w:val="24"/>
        </w:rPr>
        <w:t>ment</w:t>
      </w:r>
      <w:r w:rsidR="00C85F6E" w:rsidRPr="00F335A1">
        <w:rPr>
          <w:rFonts w:ascii="Arial" w:hAnsi="Arial" w:cs="Arial"/>
          <w:sz w:val="24"/>
          <w:szCs w:val="24"/>
        </w:rPr>
        <w:t>)</w:t>
      </w:r>
    </w:p>
    <w:p w14:paraId="55085F3D" w14:textId="297C0618" w:rsidR="000F5CD4" w:rsidRPr="00F335A1" w:rsidRDefault="000F5CD4" w:rsidP="00F335A1">
      <w:pPr>
        <w:autoSpaceDE w:val="0"/>
        <w:autoSpaceDN w:val="0"/>
        <w:adjustRightInd w:val="0"/>
        <w:spacing w:after="0"/>
        <w:rPr>
          <w:rFonts w:ascii="Arial" w:hAnsi="Arial" w:cs="Arial"/>
          <w:sz w:val="24"/>
          <w:szCs w:val="24"/>
        </w:rPr>
      </w:pPr>
      <w:r w:rsidRPr="00F335A1">
        <w:rPr>
          <w:rFonts w:ascii="Arial" w:hAnsi="Arial" w:cs="Arial"/>
          <w:sz w:val="24"/>
          <w:szCs w:val="24"/>
        </w:rPr>
        <w:tab/>
      </w:r>
      <w:r w:rsidR="005675D3" w:rsidRPr="00F335A1">
        <w:rPr>
          <w:rFonts w:ascii="Arial" w:hAnsi="Arial" w:cs="Arial"/>
          <w:sz w:val="24"/>
          <w:szCs w:val="24"/>
        </w:rPr>
        <w:t xml:space="preserve">(2) </w:t>
      </w:r>
      <w:r w:rsidR="00C85F6E" w:rsidRPr="00F335A1">
        <w:rPr>
          <w:rFonts w:ascii="Arial" w:hAnsi="Arial" w:cs="Arial"/>
          <w:sz w:val="24"/>
          <w:szCs w:val="24"/>
        </w:rPr>
        <w:t>EB-2020-0251, Decision and Rate Order, December 17, 2020</w:t>
      </w:r>
      <w:r w:rsidR="00FC4688" w:rsidRPr="00F335A1">
        <w:rPr>
          <w:rFonts w:ascii="Arial" w:hAnsi="Arial" w:cs="Arial"/>
          <w:sz w:val="24"/>
          <w:szCs w:val="24"/>
        </w:rPr>
        <w:t xml:space="preserve"> (</w:t>
      </w:r>
      <w:hyperlink r:id="rId15" w:history="1">
        <w:r w:rsidR="00FC4688" w:rsidRPr="00F335A1">
          <w:rPr>
            <w:rStyle w:val="Hyperlink"/>
            <w:rFonts w:ascii="Arial" w:hAnsi="Arial" w:cs="Arial"/>
            <w:sz w:val="24"/>
            <w:szCs w:val="24"/>
          </w:rPr>
          <w:t>link</w:t>
        </w:r>
      </w:hyperlink>
      <w:r w:rsidR="00FC4688" w:rsidRPr="00F335A1">
        <w:rPr>
          <w:rFonts w:ascii="Arial" w:hAnsi="Arial" w:cs="Arial"/>
          <w:sz w:val="24"/>
          <w:szCs w:val="24"/>
        </w:rPr>
        <w:t>)</w:t>
      </w:r>
    </w:p>
    <w:p w14:paraId="054A61D7" w14:textId="640B10FA" w:rsidR="00C85F6E" w:rsidRPr="00F335A1" w:rsidRDefault="00C85F6E" w:rsidP="00F335A1">
      <w:pPr>
        <w:autoSpaceDE w:val="0"/>
        <w:autoSpaceDN w:val="0"/>
        <w:adjustRightInd w:val="0"/>
        <w:spacing w:after="0"/>
        <w:rPr>
          <w:rFonts w:ascii="Arial" w:hAnsi="Arial" w:cs="Arial"/>
          <w:sz w:val="24"/>
          <w:szCs w:val="24"/>
        </w:rPr>
      </w:pPr>
      <w:r w:rsidRPr="00F335A1">
        <w:rPr>
          <w:rFonts w:ascii="Arial" w:hAnsi="Arial" w:cs="Arial"/>
          <w:sz w:val="24"/>
          <w:szCs w:val="24"/>
        </w:rPr>
        <w:tab/>
        <w:t>(3) EB-2020-0030, Decision and Rate Order, December 17, 2020</w:t>
      </w:r>
      <w:r w:rsidR="00FC4688" w:rsidRPr="00F335A1">
        <w:rPr>
          <w:rFonts w:ascii="Arial" w:hAnsi="Arial" w:cs="Arial"/>
          <w:sz w:val="24"/>
          <w:szCs w:val="24"/>
        </w:rPr>
        <w:t xml:space="preserve"> (</w:t>
      </w:r>
      <w:hyperlink r:id="rId16" w:history="1">
        <w:r w:rsidR="00FC4688" w:rsidRPr="00F335A1">
          <w:rPr>
            <w:rStyle w:val="Hyperlink"/>
            <w:rFonts w:ascii="Arial" w:hAnsi="Arial" w:cs="Arial"/>
            <w:sz w:val="24"/>
            <w:szCs w:val="24"/>
          </w:rPr>
          <w:t>link</w:t>
        </w:r>
      </w:hyperlink>
      <w:r w:rsidR="00FC4688" w:rsidRPr="00F335A1">
        <w:rPr>
          <w:rFonts w:ascii="Arial" w:hAnsi="Arial" w:cs="Arial"/>
          <w:sz w:val="24"/>
          <w:szCs w:val="24"/>
        </w:rPr>
        <w:t>)</w:t>
      </w:r>
    </w:p>
    <w:p w14:paraId="06B3E7AE" w14:textId="352873DA" w:rsidR="00C85F6E" w:rsidRPr="00F335A1" w:rsidRDefault="00C85F6E" w:rsidP="00F335A1">
      <w:pPr>
        <w:autoSpaceDE w:val="0"/>
        <w:autoSpaceDN w:val="0"/>
        <w:adjustRightInd w:val="0"/>
        <w:spacing w:after="0"/>
        <w:rPr>
          <w:rFonts w:ascii="Arial" w:hAnsi="Arial" w:cs="Arial"/>
          <w:sz w:val="24"/>
          <w:szCs w:val="24"/>
        </w:rPr>
      </w:pPr>
      <w:r w:rsidRPr="00F335A1">
        <w:rPr>
          <w:rFonts w:ascii="Arial" w:hAnsi="Arial" w:cs="Arial"/>
          <w:sz w:val="24"/>
          <w:szCs w:val="24"/>
        </w:rPr>
        <w:tab/>
        <w:t>(4)</w:t>
      </w:r>
      <w:r w:rsidR="000651FF" w:rsidRPr="00F335A1">
        <w:rPr>
          <w:rFonts w:ascii="Arial" w:hAnsi="Arial" w:cs="Arial"/>
          <w:sz w:val="24"/>
          <w:szCs w:val="24"/>
        </w:rPr>
        <w:t xml:space="preserve"> EB-2020-0288, Order, issued December 10, 2020, p. 3</w:t>
      </w:r>
      <w:r w:rsidR="00FC4688" w:rsidRPr="00F335A1">
        <w:rPr>
          <w:rFonts w:ascii="Arial" w:hAnsi="Arial" w:cs="Arial"/>
          <w:sz w:val="24"/>
          <w:szCs w:val="24"/>
        </w:rPr>
        <w:t xml:space="preserve"> (</w:t>
      </w:r>
      <w:hyperlink r:id="rId17" w:history="1">
        <w:r w:rsidR="00FC4688" w:rsidRPr="00F335A1">
          <w:rPr>
            <w:rStyle w:val="Hyperlink"/>
            <w:rFonts w:ascii="Arial" w:hAnsi="Arial" w:cs="Arial"/>
            <w:sz w:val="24"/>
            <w:szCs w:val="24"/>
          </w:rPr>
          <w:t>link</w:t>
        </w:r>
      </w:hyperlink>
      <w:r w:rsidR="00FC4688" w:rsidRPr="00F335A1">
        <w:rPr>
          <w:rFonts w:ascii="Arial" w:hAnsi="Arial" w:cs="Arial"/>
          <w:sz w:val="24"/>
          <w:szCs w:val="24"/>
        </w:rPr>
        <w:t>)</w:t>
      </w:r>
    </w:p>
    <w:p w14:paraId="2337D860" w14:textId="49430190" w:rsidR="00EC6B01" w:rsidRDefault="000651FF" w:rsidP="00F335A1">
      <w:pPr>
        <w:autoSpaceDE w:val="0"/>
        <w:autoSpaceDN w:val="0"/>
        <w:adjustRightInd w:val="0"/>
        <w:spacing w:after="0"/>
        <w:ind w:left="720"/>
        <w:rPr>
          <w:rFonts w:ascii="Arial" w:hAnsi="Arial" w:cs="Arial"/>
          <w:sz w:val="24"/>
          <w:szCs w:val="24"/>
        </w:rPr>
      </w:pPr>
      <w:r w:rsidRPr="00F335A1">
        <w:rPr>
          <w:rFonts w:ascii="Arial" w:hAnsi="Arial" w:cs="Arial"/>
          <w:sz w:val="24"/>
          <w:szCs w:val="24"/>
        </w:rPr>
        <w:t>(5)</w:t>
      </w:r>
      <w:r w:rsidR="005576A3" w:rsidRPr="00F335A1">
        <w:rPr>
          <w:rFonts w:ascii="Arial" w:hAnsi="Arial" w:cs="Arial"/>
          <w:sz w:val="24"/>
          <w:szCs w:val="24"/>
        </w:rPr>
        <w:t xml:space="preserve"> </w:t>
      </w:r>
      <w:r w:rsidR="00EC6B01">
        <w:rPr>
          <w:rFonts w:ascii="Arial" w:hAnsi="Arial" w:cs="Arial"/>
          <w:sz w:val="24"/>
          <w:szCs w:val="24"/>
        </w:rPr>
        <w:t xml:space="preserve">EB-2020-0285, </w:t>
      </w:r>
      <w:r w:rsidR="00D12E01">
        <w:rPr>
          <w:rFonts w:ascii="Arial" w:hAnsi="Arial" w:cs="Arial"/>
          <w:sz w:val="24"/>
          <w:szCs w:val="24"/>
        </w:rPr>
        <w:t>Decision and Rate Order, December 3, 2020 (</w:t>
      </w:r>
      <w:hyperlink r:id="rId18" w:history="1">
        <w:r w:rsidR="00D12E01" w:rsidRPr="00D12E01">
          <w:rPr>
            <w:rStyle w:val="Hyperlink"/>
            <w:rFonts w:ascii="Arial" w:hAnsi="Arial" w:cs="Arial"/>
            <w:sz w:val="24"/>
            <w:szCs w:val="24"/>
          </w:rPr>
          <w:t>link</w:t>
        </w:r>
      </w:hyperlink>
      <w:r w:rsidR="00D12E01">
        <w:rPr>
          <w:rFonts w:ascii="Arial" w:hAnsi="Arial" w:cs="Arial"/>
          <w:sz w:val="24"/>
          <w:szCs w:val="24"/>
        </w:rPr>
        <w:t>)</w:t>
      </w:r>
    </w:p>
    <w:p w14:paraId="10F472E5" w14:textId="5ED8400D" w:rsidR="000651FF" w:rsidRPr="00F335A1" w:rsidRDefault="00EC6B01" w:rsidP="00F335A1">
      <w:pPr>
        <w:autoSpaceDE w:val="0"/>
        <w:autoSpaceDN w:val="0"/>
        <w:adjustRightInd w:val="0"/>
        <w:spacing w:after="0"/>
        <w:ind w:left="720"/>
        <w:rPr>
          <w:rFonts w:ascii="Arial" w:hAnsi="Arial" w:cs="Arial"/>
          <w:sz w:val="24"/>
          <w:szCs w:val="24"/>
        </w:rPr>
      </w:pPr>
      <w:r>
        <w:rPr>
          <w:rFonts w:ascii="Arial" w:hAnsi="Arial" w:cs="Arial"/>
          <w:sz w:val="24"/>
          <w:szCs w:val="24"/>
        </w:rPr>
        <w:t xml:space="preserve">(6) </w:t>
      </w:r>
      <w:r w:rsidR="008167C6" w:rsidRPr="00F335A1">
        <w:rPr>
          <w:rFonts w:ascii="Arial" w:hAnsi="Arial" w:cs="Arial"/>
          <w:sz w:val="24"/>
          <w:szCs w:val="24"/>
        </w:rPr>
        <w:t>Letter, 2021 Inflation Factor, November 9, 2020 (</w:t>
      </w:r>
      <w:hyperlink r:id="rId19" w:history="1">
        <w:r w:rsidR="008167C6" w:rsidRPr="00F335A1">
          <w:rPr>
            <w:rStyle w:val="Hyperlink"/>
            <w:rFonts w:ascii="Arial" w:hAnsi="Arial" w:cs="Arial"/>
            <w:sz w:val="24"/>
            <w:szCs w:val="24"/>
          </w:rPr>
          <w:t>link</w:t>
        </w:r>
      </w:hyperlink>
      <w:r w:rsidR="008167C6" w:rsidRPr="00F335A1">
        <w:rPr>
          <w:rFonts w:ascii="Arial" w:hAnsi="Arial" w:cs="Arial"/>
          <w:sz w:val="24"/>
          <w:szCs w:val="24"/>
        </w:rPr>
        <w:t xml:space="preserve">) </w:t>
      </w:r>
    </w:p>
    <w:p w14:paraId="3DF59538" w14:textId="033A9A23" w:rsidR="00F335A1" w:rsidRPr="00F335A1" w:rsidRDefault="00FC4688" w:rsidP="008167C6">
      <w:pPr>
        <w:spacing w:before="1"/>
        <w:ind w:left="720"/>
        <w:rPr>
          <w:rFonts w:ascii="Arial" w:hAnsi="Arial" w:cs="Arial"/>
          <w:sz w:val="24"/>
          <w:szCs w:val="24"/>
        </w:rPr>
      </w:pPr>
      <w:r w:rsidRPr="00F335A1">
        <w:rPr>
          <w:rFonts w:ascii="Arial" w:hAnsi="Arial" w:cs="Arial"/>
          <w:sz w:val="24"/>
          <w:szCs w:val="24"/>
        </w:rPr>
        <w:t>(</w:t>
      </w:r>
      <w:r w:rsidR="00EC6B01">
        <w:rPr>
          <w:rFonts w:ascii="Arial" w:hAnsi="Arial" w:cs="Arial"/>
          <w:sz w:val="24"/>
          <w:szCs w:val="24"/>
        </w:rPr>
        <w:t>7</w:t>
      </w:r>
      <w:r w:rsidRPr="00F335A1">
        <w:rPr>
          <w:rFonts w:ascii="Arial" w:hAnsi="Arial" w:cs="Arial"/>
          <w:sz w:val="24"/>
          <w:szCs w:val="24"/>
        </w:rPr>
        <w:t xml:space="preserve">) </w:t>
      </w:r>
      <w:r w:rsidR="008167C6" w:rsidRPr="00F335A1">
        <w:rPr>
          <w:rFonts w:ascii="Arial" w:hAnsi="Arial" w:cs="Arial"/>
          <w:sz w:val="24"/>
          <w:szCs w:val="24"/>
        </w:rPr>
        <w:t>Letter, New Regulated Price Plan Prices Effective January 1, 2021, December 15, 2020 (</w:t>
      </w:r>
      <w:hyperlink r:id="rId20" w:history="1">
        <w:r w:rsidR="008167C6" w:rsidRPr="00F335A1">
          <w:rPr>
            <w:rStyle w:val="Hyperlink"/>
            <w:rFonts w:ascii="Arial" w:hAnsi="Arial" w:cs="Arial"/>
            <w:sz w:val="24"/>
            <w:szCs w:val="24"/>
          </w:rPr>
          <w:t>link</w:t>
        </w:r>
      </w:hyperlink>
      <w:r w:rsidR="008167C6" w:rsidRPr="00F335A1">
        <w:rPr>
          <w:rFonts w:ascii="Arial" w:hAnsi="Arial" w:cs="Arial"/>
          <w:sz w:val="24"/>
          <w:szCs w:val="24"/>
        </w:rPr>
        <w:t>)</w:t>
      </w:r>
    </w:p>
    <w:p w14:paraId="0A08FC71" w14:textId="77777777" w:rsidR="000F5CD4" w:rsidRPr="00F335A1" w:rsidRDefault="000F5CD4" w:rsidP="00F335A1">
      <w:pPr>
        <w:rPr>
          <w:rFonts w:ascii="Arial" w:hAnsi="Arial" w:cs="Arial"/>
          <w:bCs/>
          <w:sz w:val="24"/>
          <w:szCs w:val="24"/>
        </w:rPr>
      </w:pPr>
      <w:r w:rsidRPr="00F335A1">
        <w:rPr>
          <w:rFonts w:ascii="Arial" w:hAnsi="Arial" w:cs="Arial"/>
          <w:bCs/>
          <w:sz w:val="24"/>
          <w:szCs w:val="24"/>
        </w:rPr>
        <w:t>Preamble:</w:t>
      </w:r>
    </w:p>
    <w:p w14:paraId="15C92876" w14:textId="70A2D3D0" w:rsidR="000F5CD4" w:rsidRPr="00F335A1" w:rsidRDefault="00C85F6E" w:rsidP="00F335A1">
      <w:pPr>
        <w:autoSpaceDE w:val="0"/>
        <w:autoSpaceDN w:val="0"/>
        <w:adjustRightInd w:val="0"/>
        <w:spacing w:after="0"/>
        <w:rPr>
          <w:rFonts w:ascii="Arial" w:hAnsi="Arial" w:cs="Arial"/>
          <w:sz w:val="24"/>
          <w:szCs w:val="24"/>
        </w:rPr>
      </w:pPr>
      <w:r w:rsidRPr="00F335A1">
        <w:rPr>
          <w:rFonts w:ascii="Arial" w:hAnsi="Arial" w:cs="Arial"/>
          <w:sz w:val="24"/>
          <w:szCs w:val="24"/>
        </w:rPr>
        <w:t>Attached with OEB staff’s questions is a revised Rate Generator Model (</w:t>
      </w:r>
      <w:r w:rsidR="00F335A1">
        <w:rPr>
          <w:rFonts w:ascii="Arial" w:hAnsi="Arial" w:cs="Arial"/>
          <w:sz w:val="24"/>
          <w:szCs w:val="24"/>
        </w:rPr>
        <w:t xml:space="preserve">see </w:t>
      </w:r>
      <w:r w:rsidRPr="00F335A1">
        <w:rPr>
          <w:rFonts w:ascii="Arial" w:hAnsi="Arial" w:cs="Arial"/>
          <w:sz w:val="24"/>
          <w:szCs w:val="24"/>
        </w:rPr>
        <w:t xml:space="preserve">first reference) with the </w:t>
      </w:r>
      <w:r w:rsidR="000F5CD4" w:rsidRPr="00F335A1">
        <w:rPr>
          <w:rFonts w:ascii="Arial" w:hAnsi="Arial" w:cs="Arial"/>
          <w:sz w:val="24"/>
          <w:szCs w:val="24"/>
        </w:rPr>
        <w:t>following changes:</w:t>
      </w:r>
    </w:p>
    <w:p w14:paraId="6121ED30" w14:textId="77777777" w:rsidR="000F5CD4" w:rsidRPr="00F335A1" w:rsidRDefault="000F5CD4" w:rsidP="00F335A1">
      <w:pPr>
        <w:autoSpaceDE w:val="0"/>
        <w:autoSpaceDN w:val="0"/>
        <w:adjustRightInd w:val="0"/>
        <w:spacing w:after="0"/>
        <w:rPr>
          <w:rFonts w:ascii="Arial" w:hAnsi="Arial" w:cs="Arial"/>
          <w:sz w:val="24"/>
          <w:szCs w:val="24"/>
        </w:rPr>
      </w:pPr>
    </w:p>
    <w:p w14:paraId="11943BD1" w14:textId="77777777" w:rsidR="000F5CD4" w:rsidRPr="00DC6C30" w:rsidRDefault="000F5CD4" w:rsidP="00001518">
      <w:pPr>
        <w:pStyle w:val="ListParagraph"/>
        <w:numPr>
          <w:ilvl w:val="0"/>
          <w:numId w:val="8"/>
        </w:numPr>
        <w:autoSpaceDE w:val="0"/>
        <w:autoSpaceDN w:val="0"/>
        <w:adjustRightInd w:val="0"/>
        <w:spacing w:after="0" w:line="240" w:lineRule="auto"/>
        <w:rPr>
          <w:rFonts w:ascii="Arial" w:hAnsi="Arial" w:cs="Arial"/>
          <w:sz w:val="24"/>
          <w:szCs w:val="24"/>
        </w:rPr>
      </w:pPr>
      <w:r w:rsidRPr="00DC6C30">
        <w:rPr>
          <w:rFonts w:ascii="Arial" w:hAnsi="Arial" w:cs="Arial"/>
          <w:sz w:val="24"/>
          <w:szCs w:val="24"/>
        </w:rPr>
        <w:t>Tab 11 – UTRs and 2021 Hydro One sub-</w:t>
      </w:r>
      <w:proofErr w:type="spellStart"/>
      <w:r w:rsidRPr="00DC6C30">
        <w:rPr>
          <w:rFonts w:ascii="Arial" w:hAnsi="Arial" w:cs="Arial"/>
          <w:sz w:val="24"/>
          <w:szCs w:val="24"/>
        </w:rPr>
        <w:t>tx</w:t>
      </w:r>
      <w:proofErr w:type="spellEnd"/>
      <w:r w:rsidRPr="00DC6C30">
        <w:rPr>
          <w:rFonts w:ascii="Arial" w:hAnsi="Arial" w:cs="Arial"/>
          <w:sz w:val="24"/>
          <w:szCs w:val="24"/>
        </w:rPr>
        <w:t xml:space="preserve"> rates were updated </w:t>
      </w:r>
    </w:p>
    <w:p w14:paraId="3AC42F24" w14:textId="13513898" w:rsidR="003F0CB3" w:rsidRPr="00946818" w:rsidRDefault="003F0CB3" w:rsidP="003F0CB3">
      <w:pPr>
        <w:widowControl w:val="0"/>
        <w:tabs>
          <w:tab w:val="left" w:pos="839"/>
          <w:tab w:val="left" w:pos="840"/>
        </w:tabs>
        <w:autoSpaceDE w:val="0"/>
        <w:autoSpaceDN w:val="0"/>
        <w:spacing w:after="0" w:line="240" w:lineRule="auto"/>
        <w:ind w:left="720"/>
        <w:rPr>
          <w:rFonts w:ascii="Arial" w:hAnsi="Arial" w:cs="Arial"/>
          <w:sz w:val="24"/>
          <w:szCs w:val="24"/>
        </w:rPr>
      </w:pPr>
    </w:p>
    <w:p w14:paraId="32A3A115" w14:textId="2DF4E1C2" w:rsidR="00182E97" w:rsidRPr="00946818" w:rsidRDefault="003F0CB3" w:rsidP="00F335A1">
      <w:pPr>
        <w:widowControl w:val="0"/>
        <w:tabs>
          <w:tab w:val="left" w:pos="839"/>
          <w:tab w:val="left" w:pos="840"/>
        </w:tabs>
        <w:autoSpaceDE w:val="0"/>
        <w:autoSpaceDN w:val="0"/>
        <w:spacing w:after="0" w:line="240" w:lineRule="auto"/>
        <w:rPr>
          <w:rFonts w:ascii="Arial" w:hAnsi="Arial" w:cs="Arial"/>
        </w:rPr>
      </w:pPr>
      <w:r w:rsidRPr="00946818">
        <w:rPr>
          <w:rFonts w:ascii="Arial" w:hAnsi="Arial" w:cs="Arial"/>
          <w:sz w:val="24"/>
          <w:szCs w:val="24"/>
        </w:rPr>
        <w:tab/>
      </w:r>
      <w:r w:rsidR="00182E97" w:rsidRPr="00946818">
        <w:rPr>
          <w:rFonts w:ascii="Arial" w:hAnsi="Arial" w:cs="Arial"/>
        </w:rPr>
        <w:t>Uniform Transmission Rates</w:t>
      </w:r>
      <w:r w:rsidR="00C85F6E" w:rsidRPr="00946818">
        <w:rPr>
          <w:rFonts w:ascii="Arial" w:hAnsi="Arial" w:cs="Arial"/>
        </w:rPr>
        <w:t xml:space="preserve"> (</w:t>
      </w:r>
      <w:r w:rsidR="00F335A1" w:rsidRPr="00946818">
        <w:rPr>
          <w:rFonts w:ascii="Arial" w:hAnsi="Arial" w:cs="Arial"/>
        </w:rPr>
        <w:t>see</w:t>
      </w:r>
      <w:r w:rsidR="00C85F6E" w:rsidRPr="00946818">
        <w:rPr>
          <w:rFonts w:ascii="Arial" w:hAnsi="Arial" w:cs="Arial"/>
        </w:rPr>
        <w:t xml:space="preserve"> second reference)</w:t>
      </w:r>
      <w:r w:rsidR="00182E97" w:rsidRPr="00946818">
        <w:rPr>
          <w:rFonts w:ascii="Arial" w:hAnsi="Arial" w:cs="Arial"/>
        </w:rPr>
        <w:t>:</w:t>
      </w:r>
      <w:r w:rsidR="00C85F6E" w:rsidRPr="00946818">
        <w:rPr>
          <w:rFonts w:ascii="Arial" w:hAnsi="Arial" w:cs="Arial"/>
        </w:rPr>
        <w:t xml:space="preserve"> </w:t>
      </w:r>
    </w:p>
    <w:p w14:paraId="46D540B8" w14:textId="2EC4D270" w:rsidR="00182E97" w:rsidRPr="00946818" w:rsidRDefault="00182E97" w:rsidP="00001518">
      <w:pPr>
        <w:pStyle w:val="ListParagraph"/>
        <w:widowControl w:val="0"/>
        <w:numPr>
          <w:ilvl w:val="1"/>
          <w:numId w:val="8"/>
        </w:numPr>
        <w:tabs>
          <w:tab w:val="left" w:pos="1560"/>
        </w:tabs>
        <w:autoSpaceDE w:val="0"/>
        <w:autoSpaceDN w:val="0"/>
        <w:spacing w:after="0" w:line="240" w:lineRule="auto"/>
        <w:contextualSpacing w:val="0"/>
        <w:rPr>
          <w:rFonts w:ascii="Arial" w:hAnsi="Arial" w:cs="Arial"/>
        </w:rPr>
      </w:pPr>
      <w:r w:rsidRPr="00946818">
        <w:rPr>
          <w:rFonts w:ascii="Arial" w:hAnsi="Arial" w:cs="Arial"/>
        </w:rPr>
        <w:t>Network Service Rate $/kW</w:t>
      </w:r>
      <w:r w:rsidRPr="00946818">
        <w:rPr>
          <w:rFonts w:ascii="Arial" w:hAnsi="Arial" w:cs="Arial"/>
          <w:spacing w:val="-1"/>
        </w:rPr>
        <w:t xml:space="preserve"> </w:t>
      </w:r>
      <w:r w:rsidRPr="00946818">
        <w:rPr>
          <w:rFonts w:ascii="Arial" w:hAnsi="Arial" w:cs="Arial"/>
        </w:rPr>
        <w:t>4.67</w:t>
      </w:r>
    </w:p>
    <w:p w14:paraId="7E209BD2" w14:textId="77777777" w:rsidR="00182E97" w:rsidRPr="00946818" w:rsidRDefault="00182E97" w:rsidP="00001518">
      <w:pPr>
        <w:pStyle w:val="ListParagraph"/>
        <w:widowControl w:val="0"/>
        <w:numPr>
          <w:ilvl w:val="1"/>
          <w:numId w:val="8"/>
        </w:numPr>
        <w:tabs>
          <w:tab w:val="left" w:pos="1560"/>
        </w:tabs>
        <w:autoSpaceDE w:val="0"/>
        <w:autoSpaceDN w:val="0"/>
        <w:spacing w:after="0" w:line="240" w:lineRule="auto"/>
        <w:contextualSpacing w:val="0"/>
        <w:rPr>
          <w:rFonts w:ascii="Arial" w:hAnsi="Arial" w:cs="Arial"/>
        </w:rPr>
      </w:pPr>
      <w:r w:rsidRPr="00946818">
        <w:rPr>
          <w:rFonts w:ascii="Arial" w:hAnsi="Arial" w:cs="Arial"/>
        </w:rPr>
        <w:t>Line Connection Service Rate $/kW</w:t>
      </w:r>
      <w:r w:rsidRPr="00946818">
        <w:rPr>
          <w:rFonts w:ascii="Arial" w:hAnsi="Arial" w:cs="Arial"/>
          <w:spacing w:val="-2"/>
        </w:rPr>
        <w:t xml:space="preserve"> </w:t>
      </w:r>
      <w:r w:rsidRPr="00946818">
        <w:rPr>
          <w:rFonts w:ascii="Arial" w:hAnsi="Arial" w:cs="Arial"/>
        </w:rPr>
        <w:t>0.77</w:t>
      </w:r>
    </w:p>
    <w:p w14:paraId="4406C458" w14:textId="77777777" w:rsidR="00182E97" w:rsidRPr="00946818" w:rsidRDefault="00182E97" w:rsidP="00001518">
      <w:pPr>
        <w:pStyle w:val="ListParagraph"/>
        <w:widowControl w:val="0"/>
        <w:numPr>
          <w:ilvl w:val="1"/>
          <w:numId w:val="8"/>
        </w:numPr>
        <w:tabs>
          <w:tab w:val="left" w:pos="1560"/>
        </w:tabs>
        <w:autoSpaceDE w:val="0"/>
        <w:autoSpaceDN w:val="0"/>
        <w:spacing w:after="0" w:line="240" w:lineRule="auto"/>
        <w:contextualSpacing w:val="0"/>
        <w:rPr>
          <w:rFonts w:ascii="Arial" w:hAnsi="Arial" w:cs="Arial"/>
        </w:rPr>
      </w:pPr>
      <w:r w:rsidRPr="00946818">
        <w:rPr>
          <w:rFonts w:ascii="Arial" w:hAnsi="Arial" w:cs="Arial"/>
        </w:rPr>
        <w:t>Transformation Connection Service Rate $/kW</w:t>
      </w:r>
      <w:r w:rsidRPr="00946818">
        <w:rPr>
          <w:rFonts w:ascii="Arial" w:hAnsi="Arial" w:cs="Arial"/>
          <w:spacing w:val="-3"/>
        </w:rPr>
        <w:t xml:space="preserve"> </w:t>
      </w:r>
      <w:r w:rsidRPr="00946818">
        <w:rPr>
          <w:rFonts w:ascii="Arial" w:hAnsi="Arial" w:cs="Arial"/>
        </w:rPr>
        <w:t>2.53</w:t>
      </w:r>
    </w:p>
    <w:p w14:paraId="28CC7361" w14:textId="77777777" w:rsidR="000651FF" w:rsidRPr="00946818" w:rsidRDefault="000651FF" w:rsidP="00F335A1">
      <w:pPr>
        <w:pStyle w:val="ListParagraph"/>
        <w:widowControl w:val="0"/>
        <w:tabs>
          <w:tab w:val="left" w:pos="839"/>
          <w:tab w:val="left" w:pos="840"/>
        </w:tabs>
        <w:autoSpaceDE w:val="0"/>
        <w:autoSpaceDN w:val="0"/>
        <w:spacing w:after="0" w:line="240" w:lineRule="auto"/>
        <w:contextualSpacing w:val="0"/>
        <w:rPr>
          <w:rFonts w:ascii="Arial" w:hAnsi="Arial" w:cs="Arial"/>
        </w:rPr>
      </w:pPr>
    </w:p>
    <w:p w14:paraId="595B15F4" w14:textId="3E371417" w:rsidR="00182E97" w:rsidRPr="00946818" w:rsidRDefault="000651FF" w:rsidP="00F335A1">
      <w:pPr>
        <w:pStyle w:val="ListParagraph"/>
        <w:widowControl w:val="0"/>
        <w:tabs>
          <w:tab w:val="left" w:pos="839"/>
          <w:tab w:val="left" w:pos="840"/>
        </w:tabs>
        <w:autoSpaceDE w:val="0"/>
        <w:autoSpaceDN w:val="0"/>
        <w:spacing w:after="0" w:line="240" w:lineRule="auto"/>
        <w:contextualSpacing w:val="0"/>
        <w:rPr>
          <w:rFonts w:ascii="Arial" w:hAnsi="Arial" w:cs="Arial"/>
        </w:rPr>
      </w:pPr>
      <w:r w:rsidRPr="00946818">
        <w:rPr>
          <w:rFonts w:ascii="Arial" w:hAnsi="Arial" w:cs="Arial"/>
        </w:rPr>
        <w:tab/>
      </w:r>
      <w:r w:rsidR="00182E97" w:rsidRPr="00946818">
        <w:rPr>
          <w:rFonts w:ascii="Arial" w:hAnsi="Arial" w:cs="Arial"/>
        </w:rPr>
        <w:t>Hydro One Sub-Transmission</w:t>
      </w:r>
      <w:r w:rsidR="00182E97" w:rsidRPr="00946818">
        <w:rPr>
          <w:rFonts w:ascii="Arial" w:hAnsi="Arial" w:cs="Arial"/>
          <w:spacing w:val="-1"/>
        </w:rPr>
        <w:t xml:space="preserve"> </w:t>
      </w:r>
      <w:r w:rsidR="00182E97" w:rsidRPr="00946818">
        <w:rPr>
          <w:rFonts w:ascii="Arial" w:hAnsi="Arial" w:cs="Arial"/>
        </w:rPr>
        <w:t>Rates</w:t>
      </w:r>
      <w:r w:rsidR="00C85F6E" w:rsidRPr="00946818">
        <w:rPr>
          <w:rFonts w:ascii="Arial" w:hAnsi="Arial" w:cs="Arial"/>
        </w:rPr>
        <w:t xml:space="preserve"> (</w:t>
      </w:r>
      <w:r w:rsidR="00F335A1" w:rsidRPr="00946818">
        <w:rPr>
          <w:rFonts w:ascii="Arial" w:hAnsi="Arial" w:cs="Arial"/>
        </w:rPr>
        <w:t>see</w:t>
      </w:r>
      <w:r w:rsidR="00C85F6E" w:rsidRPr="00946818">
        <w:rPr>
          <w:rFonts w:ascii="Arial" w:hAnsi="Arial" w:cs="Arial"/>
        </w:rPr>
        <w:t xml:space="preserve"> third reference)</w:t>
      </w:r>
      <w:r w:rsidR="00182E97" w:rsidRPr="00946818">
        <w:rPr>
          <w:rFonts w:ascii="Arial" w:hAnsi="Arial" w:cs="Arial"/>
        </w:rPr>
        <w:t>:</w:t>
      </w:r>
      <w:r w:rsidR="00C85F6E" w:rsidRPr="00946818">
        <w:rPr>
          <w:rFonts w:ascii="Arial" w:hAnsi="Arial" w:cs="Arial"/>
        </w:rPr>
        <w:t xml:space="preserve"> </w:t>
      </w:r>
    </w:p>
    <w:p w14:paraId="085C7B7A" w14:textId="77777777" w:rsidR="00182E97" w:rsidRPr="00946818" w:rsidRDefault="00182E97" w:rsidP="00001518">
      <w:pPr>
        <w:pStyle w:val="ListParagraph"/>
        <w:widowControl w:val="0"/>
        <w:numPr>
          <w:ilvl w:val="1"/>
          <w:numId w:val="13"/>
        </w:numPr>
        <w:tabs>
          <w:tab w:val="left" w:pos="1560"/>
        </w:tabs>
        <w:autoSpaceDE w:val="0"/>
        <w:autoSpaceDN w:val="0"/>
        <w:spacing w:after="0" w:line="240" w:lineRule="auto"/>
        <w:contextualSpacing w:val="0"/>
        <w:rPr>
          <w:rFonts w:ascii="Arial" w:hAnsi="Arial" w:cs="Arial"/>
        </w:rPr>
      </w:pPr>
      <w:r w:rsidRPr="00946818">
        <w:rPr>
          <w:rFonts w:ascii="Arial" w:hAnsi="Arial" w:cs="Arial"/>
        </w:rPr>
        <w:t>Network Service Rate $/kW</w:t>
      </w:r>
      <w:r w:rsidRPr="00946818">
        <w:rPr>
          <w:rFonts w:ascii="Arial" w:hAnsi="Arial" w:cs="Arial"/>
          <w:spacing w:val="-1"/>
        </w:rPr>
        <w:t xml:space="preserve"> </w:t>
      </w:r>
      <w:r w:rsidRPr="00946818">
        <w:rPr>
          <w:rFonts w:ascii="Arial" w:hAnsi="Arial" w:cs="Arial"/>
        </w:rPr>
        <w:t>3.4778</w:t>
      </w:r>
    </w:p>
    <w:p w14:paraId="5EF9BCA1" w14:textId="77777777" w:rsidR="00182E97" w:rsidRPr="00946818" w:rsidRDefault="00182E97" w:rsidP="00001518">
      <w:pPr>
        <w:pStyle w:val="ListParagraph"/>
        <w:widowControl w:val="0"/>
        <w:numPr>
          <w:ilvl w:val="1"/>
          <w:numId w:val="13"/>
        </w:numPr>
        <w:tabs>
          <w:tab w:val="left" w:pos="1560"/>
        </w:tabs>
        <w:autoSpaceDE w:val="0"/>
        <w:autoSpaceDN w:val="0"/>
        <w:spacing w:after="0" w:line="240" w:lineRule="auto"/>
        <w:contextualSpacing w:val="0"/>
        <w:rPr>
          <w:rFonts w:ascii="Arial" w:hAnsi="Arial" w:cs="Arial"/>
        </w:rPr>
      </w:pPr>
      <w:r w:rsidRPr="00946818">
        <w:rPr>
          <w:rFonts w:ascii="Arial" w:hAnsi="Arial" w:cs="Arial"/>
        </w:rPr>
        <w:t>Line Connection Service Rate $/kW</w:t>
      </w:r>
      <w:r w:rsidRPr="00946818">
        <w:rPr>
          <w:rFonts w:ascii="Arial" w:hAnsi="Arial" w:cs="Arial"/>
          <w:spacing w:val="-2"/>
        </w:rPr>
        <w:t xml:space="preserve"> </w:t>
      </w:r>
      <w:r w:rsidRPr="00946818">
        <w:rPr>
          <w:rFonts w:ascii="Arial" w:hAnsi="Arial" w:cs="Arial"/>
        </w:rPr>
        <w:t>0.8128</w:t>
      </w:r>
    </w:p>
    <w:p w14:paraId="2DC64701" w14:textId="77777777" w:rsidR="00182E97" w:rsidRPr="00946818" w:rsidRDefault="00182E97" w:rsidP="00001518">
      <w:pPr>
        <w:pStyle w:val="ListParagraph"/>
        <w:widowControl w:val="0"/>
        <w:numPr>
          <w:ilvl w:val="1"/>
          <w:numId w:val="13"/>
        </w:numPr>
        <w:tabs>
          <w:tab w:val="left" w:pos="1560"/>
        </w:tabs>
        <w:autoSpaceDE w:val="0"/>
        <w:autoSpaceDN w:val="0"/>
        <w:spacing w:after="0" w:line="240" w:lineRule="auto"/>
        <w:ind w:hanging="361"/>
        <w:contextualSpacing w:val="0"/>
        <w:rPr>
          <w:rFonts w:ascii="Arial" w:hAnsi="Arial" w:cs="Arial"/>
        </w:rPr>
      </w:pPr>
      <w:r w:rsidRPr="00946818">
        <w:rPr>
          <w:rFonts w:ascii="Arial" w:hAnsi="Arial" w:cs="Arial"/>
        </w:rPr>
        <w:t>Transformation Connection Service Rate $/kW</w:t>
      </w:r>
      <w:r w:rsidRPr="00946818">
        <w:rPr>
          <w:rFonts w:ascii="Arial" w:hAnsi="Arial" w:cs="Arial"/>
          <w:spacing w:val="-4"/>
        </w:rPr>
        <w:t xml:space="preserve"> </w:t>
      </w:r>
      <w:r w:rsidRPr="00946818">
        <w:rPr>
          <w:rFonts w:ascii="Arial" w:hAnsi="Arial" w:cs="Arial"/>
        </w:rPr>
        <w:t>2.0458</w:t>
      </w:r>
    </w:p>
    <w:p w14:paraId="575A860B" w14:textId="77777777" w:rsidR="00182E97" w:rsidRPr="00DC6C30" w:rsidRDefault="00182E97" w:rsidP="00F335A1">
      <w:pPr>
        <w:autoSpaceDE w:val="0"/>
        <w:autoSpaceDN w:val="0"/>
        <w:adjustRightInd w:val="0"/>
        <w:spacing w:after="0" w:line="240" w:lineRule="auto"/>
        <w:rPr>
          <w:rFonts w:ascii="Arial" w:hAnsi="Arial" w:cs="Arial"/>
          <w:sz w:val="24"/>
          <w:szCs w:val="24"/>
        </w:rPr>
      </w:pPr>
    </w:p>
    <w:p w14:paraId="7EC77718" w14:textId="036624C6" w:rsidR="000F5CD4" w:rsidRDefault="000F5CD4" w:rsidP="00001518">
      <w:pPr>
        <w:pStyle w:val="ListParagraph"/>
        <w:numPr>
          <w:ilvl w:val="0"/>
          <w:numId w:val="8"/>
        </w:numPr>
        <w:autoSpaceDE w:val="0"/>
        <w:autoSpaceDN w:val="0"/>
        <w:adjustRightInd w:val="0"/>
        <w:spacing w:after="0" w:line="240" w:lineRule="auto"/>
        <w:rPr>
          <w:rFonts w:ascii="Arial" w:hAnsi="Arial" w:cs="Arial"/>
          <w:sz w:val="24"/>
          <w:szCs w:val="24"/>
        </w:rPr>
      </w:pPr>
      <w:r w:rsidRPr="00DC6C30">
        <w:rPr>
          <w:rFonts w:ascii="Arial" w:hAnsi="Arial" w:cs="Arial"/>
          <w:sz w:val="24"/>
          <w:szCs w:val="24"/>
        </w:rPr>
        <w:t>Tab 16 – Price escalator was updated</w:t>
      </w:r>
      <w:r w:rsidR="00182E97" w:rsidRPr="00DC6C30">
        <w:rPr>
          <w:rFonts w:ascii="Arial" w:hAnsi="Arial" w:cs="Arial"/>
          <w:sz w:val="24"/>
          <w:szCs w:val="24"/>
        </w:rPr>
        <w:t xml:space="preserve"> with a placeholder</w:t>
      </w:r>
      <w:r w:rsidR="00182E97" w:rsidRPr="00DC6C30">
        <w:rPr>
          <w:rFonts w:ascii="Arial" w:hAnsi="Arial" w:cs="Arial"/>
          <w:spacing w:val="-34"/>
          <w:sz w:val="24"/>
          <w:szCs w:val="24"/>
        </w:rPr>
        <w:t xml:space="preserve"> </w:t>
      </w:r>
      <w:r w:rsidR="00182E97" w:rsidRPr="00DC6C30">
        <w:rPr>
          <w:rFonts w:ascii="Arial" w:hAnsi="Arial" w:cs="Arial"/>
          <w:sz w:val="24"/>
          <w:szCs w:val="24"/>
        </w:rPr>
        <w:t>value</w:t>
      </w:r>
      <w:r w:rsidRPr="00DC6C30">
        <w:rPr>
          <w:rFonts w:ascii="Arial" w:hAnsi="Arial" w:cs="Arial"/>
          <w:sz w:val="24"/>
          <w:szCs w:val="24"/>
        </w:rPr>
        <w:t xml:space="preserve"> to 2.2%</w:t>
      </w:r>
      <w:r w:rsidR="008167C6">
        <w:rPr>
          <w:rFonts w:ascii="Arial" w:hAnsi="Arial" w:cs="Arial"/>
          <w:sz w:val="24"/>
          <w:szCs w:val="24"/>
        </w:rPr>
        <w:t xml:space="preserve"> </w:t>
      </w:r>
      <w:r w:rsidR="008167C6">
        <w:rPr>
          <w:rStyle w:val="FootnoteReference"/>
          <w:rFonts w:ascii="Arial" w:hAnsi="Arial" w:cs="Arial"/>
          <w:sz w:val="24"/>
          <w:szCs w:val="24"/>
        </w:rPr>
        <w:footnoteReference w:id="2"/>
      </w:r>
    </w:p>
    <w:p w14:paraId="0CCB22D8" w14:textId="77777777" w:rsidR="00DC6C30" w:rsidRPr="00DC6C30" w:rsidRDefault="00DC6C30" w:rsidP="00DC6C30">
      <w:pPr>
        <w:pStyle w:val="ListParagraph"/>
        <w:autoSpaceDE w:val="0"/>
        <w:autoSpaceDN w:val="0"/>
        <w:adjustRightInd w:val="0"/>
        <w:spacing w:after="0" w:line="240" w:lineRule="auto"/>
        <w:rPr>
          <w:rFonts w:ascii="Arial" w:hAnsi="Arial" w:cs="Arial"/>
          <w:sz w:val="24"/>
          <w:szCs w:val="24"/>
        </w:rPr>
      </w:pPr>
    </w:p>
    <w:p w14:paraId="4530E06F" w14:textId="7A37ED07" w:rsidR="000F5CD4" w:rsidRPr="00DC6C30" w:rsidRDefault="000F5CD4" w:rsidP="00001518">
      <w:pPr>
        <w:pStyle w:val="ListParagraph"/>
        <w:numPr>
          <w:ilvl w:val="0"/>
          <w:numId w:val="8"/>
        </w:numPr>
        <w:autoSpaceDE w:val="0"/>
        <w:autoSpaceDN w:val="0"/>
        <w:adjustRightInd w:val="0"/>
        <w:spacing w:after="0" w:line="240" w:lineRule="auto"/>
        <w:rPr>
          <w:rFonts w:ascii="Arial" w:hAnsi="Arial" w:cs="Arial"/>
          <w:sz w:val="24"/>
          <w:szCs w:val="24"/>
        </w:rPr>
      </w:pPr>
      <w:r w:rsidRPr="00DC6C30">
        <w:rPr>
          <w:rFonts w:ascii="Arial" w:hAnsi="Arial" w:cs="Arial"/>
          <w:sz w:val="24"/>
          <w:szCs w:val="24"/>
        </w:rPr>
        <w:t>Tab 17 – Regulatory cha</w:t>
      </w:r>
      <w:r w:rsidR="006E3346">
        <w:rPr>
          <w:rFonts w:ascii="Arial" w:hAnsi="Arial" w:cs="Arial"/>
          <w:sz w:val="24"/>
          <w:szCs w:val="24"/>
        </w:rPr>
        <w:t>r</w:t>
      </w:r>
      <w:r w:rsidRPr="00DC6C30">
        <w:rPr>
          <w:rFonts w:ascii="Arial" w:hAnsi="Arial" w:cs="Arial"/>
          <w:sz w:val="24"/>
          <w:szCs w:val="24"/>
        </w:rPr>
        <w:t>ges and TOU pricing have been updated for Jan 1, 2021 rates</w:t>
      </w:r>
    </w:p>
    <w:p w14:paraId="6CB288A7" w14:textId="77777777" w:rsidR="003F0CB3" w:rsidRPr="00DC6C30" w:rsidRDefault="003F0CB3" w:rsidP="003F0CB3">
      <w:pPr>
        <w:pStyle w:val="ListParagraph"/>
        <w:widowControl w:val="0"/>
        <w:tabs>
          <w:tab w:val="left" w:pos="839"/>
          <w:tab w:val="left" w:pos="840"/>
        </w:tabs>
        <w:autoSpaceDE w:val="0"/>
        <w:autoSpaceDN w:val="0"/>
        <w:spacing w:after="0" w:line="240" w:lineRule="auto"/>
        <w:ind w:left="1440" w:right="268"/>
        <w:contextualSpacing w:val="0"/>
        <w:rPr>
          <w:rFonts w:cstheme="minorHAnsi"/>
        </w:rPr>
      </w:pPr>
    </w:p>
    <w:p w14:paraId="2FDD4163" w14:textId="4E8D2E37" w:rsidR="00182E97" w:rsidRDefault="00F335A1" w:rsidP="00001518">
      <w:pPr>
        <w:pStyle w:val="ListParagraph"/>
        <w:widowControl w:val="0"/>
        <w:numPr>
          <w:ilvl w:val="1"/>
          <w:numId w:val="8"/>
        </w:numPr>
        <w:tabs>
          <w:tab w:val="left" w:pos="839"/>
          <w:tab w:val="left" w:pos="840"/>
        </w:tabs>
        <w:autoSpaceDE w:val="0"/>
        <w:autoSpaceDN w:val="0"/>
        <w:spacing w:after="0" w:line="240" w:lineRule="auto"/>
        <w:ind w:right="268"/>
        <w:contextualSpacing w:val="0"/>
        <w:rPr>
          <w:rFonts w:ascii="Arial" w:hAnsi="Arial" w:cs="Arial"/>
        </w:rPr>
      </w:pPr>
      <w:r w:rsidRPr="00946818">
        <w:rPr>
          <w:rFonts w:ascii="Arial" w:hAnsi="Arial" w:cs="Arial"/>
        </w:rPr>
        <w:t>S</w:t>
      </w:r>
      <w:r w:rsidR="00182E97" w:rsidRPr="00946818">
        <w:rPr>
          <w:rFonts w:ascii="Arial" w:hAnsi="Arial" w:cs="Arial"/>
        </w:rPr>
        <w:t xml:space="preserve">pecific service charge for access to the power poles </w:t>
      </w:r>
      <w:r w:rsidR="000651FF" w:rsidRPr="00946818">
        <w:rPr>
          <w:rFonts w:ascii="Arial" w:hAnsi="Arial" w:cs="Arial"/>
        </w:rPr>
        <w:t>–</w:t>
      </w:r>
      <w:r w:rsidR="00182E97" w:rsidRPr="00946818">
        <w:rPr>
          <w:rFonts w:ascii="Arial" w:hAnsi="Arial" w:cs="Arial"/>
        </w:rPr>
        <w:t xml:space="preserve"> per pole/year (</w:t>
      </w:r>
      <w:proofErr w:type="gramStart"/>
      <w:r w:rsidR="00182E97" w:rsidRPr="00946818">
        <w:rPr>
          <w:rFonts w:ascii="Arial" w:hAnsi="Arial" w:cs="Arial"/>
        </w:rPr>
        <w:t>with the exception of</w:t>
      </w:r>
      <w:proofErr w:type="gramEnd"/>
      <w:r w:rsidR="00182E97" w:rsidRPr="00946818">
        <w:rPr>
          <w:rFonts w:ascii="Arial" w:hAnsi="Arial" w:cs="Arial"/>
        </w:rPr>
        <w:t xml:space="preserve"> wireless attachments) </w:t>
      </w:r>
      <w:r w:rsidR="000651FF" w:rsidRPr="00946818">
        <w:rPr>
          <w:rFonts w:ascii="Arial" w:hAnsi="Arial" w:cs="Arial"/>
        </w:rPr>
        <w:t>–</w:t>
      </w:r>
      <w:r w:rsidR="00182E97" w:rsidRPr="00946818">
        <w:rPr>
          <w:rFonts w:ascii="Arial" w:hAnsi="Arial" w:cs="Arial"/>
        </w:rPr>
        <w:t xml:space="preserve"> </w:t>
      </w:r>
      <w:r w:rsidR="000651FF" w:rsidRPr="00946818">
        <w:rPr>
          <w:rFonts w:ascii="Arial" w:hAnsi="Arial" w:cs="Arial"/>
        </w:rPr>
        <w:t>a</w:t>
      </w:r>
      <w:r w:rsidR="00182E97" w:rsidRPr="00946818">
        <w:rPr>
          <w:rFonts w:ascii="Arial" w:hAnsi="Arial" w:cs="Arial"/>
        </w:rPr>
        <w:t>pproved on an Interim Basis</w:t>
      </w:r>
      <w:r w:rsidR="000651FF" w:rsidRPr="00946818">
        <w:rPr>
          <w:rFonts w:ascii="Arial" w:hAnsi="Arial" w:cs="Arial"/>
        </w:rPr>
        <w:t>,</w:t>
      </w:r>
      <w:r w:rsidR="00182E97" w:rsidRPr="00946818">
        <w:rPr>
          <w:rFonts w:ascii="Arial" w:hAnsi="Arial" w:cs="Arial"/>
          <w:spacing w:val="-34"/>
        </w:rPr>
        <w:t xml:space="preserve"> </w:t>
      </w:r>
      <w:r w:rsidR="00182E97" w:rsidRPr="00946818">
        <w:rPr>
          <w:rFonts w:ascii="Arial" w:hAnsi="Arial" w:cs="Arial"/>
        </w:rPr>
        <w:t xml:space="preserve">has been </w:t>
      </w:r>
      <w:r w:rsidR="00946818">
        <w:rPr>
          <w:rFonts w:ascii="Arial" w:hAnsi="Arial" w:cs="Arial"/>
        </w:rPr>
        <w:lastRenderedPageBreak/>
        <w:t>maintained at</w:t>
      </w:r>
      <w:r w:rsidR="00182E97" w:rsidRPr="00946818">
        <w:rPr>
          <w:rFonts w:ascii="Arial" w:hAnsi="Arial" w:cs="Arial"/>
          <w:spacing w:val="1"/>
        </w:rPr>
        <w:t xml:space="preserve"> </w:t>
      </w:r>
      <w:r w:rsidR="00182E97" w:rsidRPr="00946818">
        <w:rPr>
          <w:rFonts w:ascii="Arial" w:hAnsi="Arial" w:cs="Arial"/>
        </w:rPr>
        <w:t>$44.50</w:t>
      </w:r>
      <w:r w:rsidR="00C85F6E" w:rsidRPr="00946818">
        <w:rPr>
          <w:rFonts w:ascii="Arial" w:hAnsi="Arial" w:cs="Arial"/>
        </w:rPr>
        <w:t xml:space="preserve"> (</w:t>
      </w:r>
      <w:r w:rsidRPr="00946818">
        <w:rPr>
          <w:rFonts w:ascii="Arial" w:hAnsi="Arial" w:cs="Arial"/>
        </w:rPr>
        <w:t xml:space="preserve">see </w:t>
      </w:r>
      <w:r w:rsidR="00C85F6E" w:rsidRPr="00946818">
        <w:rPr>
          <w:rFonts w:ascii="Arial" w:hAnsi="Arial" w:cs="Arial"/>
        </w:rPr>
        <w:t>forth reference)</w:t>
      </w:r>
    </w:p>
    <w:p w14:paraId="6FD39B99" w14:textId="15DFC149" w:rsidR="00EC6B01" w:rsidRPr="00946818" w:rsidRDefault="00EC6B01" w:rsidP="00001518">
      <w:pPr>
        <w:pStyle w:val="ListParagraph"/>
        <w:widowControl w:val="0"/>
        <w:numPr>
          <w:ilvl w:val="1"/>
          <w:numId w:val="8"/>
        </w:numPr>
        <w:tabs>
          <w:tab w:val="left" w:pos="839"/>
          <w:tab w:val="left" w:pos="840"/>
        </w:tabs>
        <w:autoSpaceDE w:val="0"/>
        <w:autoSpaceDN w:val="0"/>
        <w:spacing w:after="0" w:line="240" w:lineRule="auto"/>
        <w:ind w:right="268"/>
        <w:contextualSpacing w:val="0"/>
        <w:rPr>
          <w:rFonts w:ascii="Arial" w:hAnsi="Arial" w:cs="Arial"/>
        </w:rPr>
      </w:pPr>
      <w:r>
        <w:rPr>
          <w:rFonts w:ascii="Arial" w:hAnsi="Arial" w:cs="Arial"/>
        </w:rPr>
        <w:t xml:space="preserve">Retailer service charges have been updated by </w:t>
      </w:r>
      <w:r w:rsidR="00644305">
        <w:rPr>
          <w:rFonts w:ascii="Arial" w:hAnsi="Arial" w:cs="Arial"/>
        </w:rPr>
        <w:t>the approved</w:t>
      </w:r>
      <w:r>
        <w:rPr>
          <w:rFonts w:ascii="Arial" w:hAnsi="Arial" w:cs="Arial"/>
        </w:rPr>
        <w:t xml:space="preserve"> inflation factor of 2.2% (see fifth reference)</w:t>
      </w:r>
    </w:p>
    <w:p w14:paraId="5929B3A2" w14:textId="1932CA86" w:rsidR="00182E97" w:rsidRPr="00946818" w:rsidRDefault="000651FF" w:rsidP="00001518">
      <w:pPr>
        <w:pStyle w:val="ListParagraph"/>
        <w:numPr>
          <w:ilvl w:val="0"/>
          <w:numId w:val="14"/>
        </w:numPr>
        <w:autoSpaceDE w:val="0"/>
        <w:autoSpaceDN w:val="0"/>
        <w:adjustRightInd w:val="0"/>
        <w:spacing w:after="0" w:line="240" w:lineRule="auto"/>
        <w:rPr>
          <w:rFonts w:ascii="Arial" w:hAnsi="Arial" w:cs="Arial"/>
        </w:rPr>
      </w:pPr>
      <w:r w:rsidRPr="00946818">
        <w:rPr>
          <w:rFonts w:ascii="Arial" w:hAnsi="Arial" w:cs="Arial"/>
        </w:rPr>
        <w:t>T</w:t>
      </w:r>
      <w:r w:rsidR="006E3346">
        <w:rPr>
          <w:rFonts w:ascii="Arial" w:hAnsi="Arial" w:cs="Arial"/>
        </w:rPr>
        <w:t>ime of Use (T</w:t>
      </w:r>
      <w:r w:rsidRPr="00946818">
        <w:rPr>
          <w:rFonts w:ascii="Arial" w:hAnsi="Arial" w:cs="Arial"/>
        </w:rPr>
        <w:t>OU</w:t>
      </w:r>
      <w:r w:rsidR="006E3346">
        <w:rPr>
          <w:rFonts w:ascii="Arial" w:hAnsi="Arial" w:cs="Arial"/>
        </w:rPr>
        <w:t>)</w:t>
      </w:r>
      <w:r w:rsidRPr="00946818">
        <w:rPr>
          <w:rFonts w:ascii="Arial" w:hAnsi="Arial" w:cs="Arial"/>
        </w:rPr>
        <w:t xml:space="preserve"> </w:t>
      </w:r>
      <w:r w:rsidR="006E3346">
        <w:rPr>
          <w:rFonts w:ascii="Arial" w:hAnsi="Arial" w:cs="Arial"/>
        </w:rPr>
        <w:t xml:space="preserve">RPP </w:t>
      </w:r>
      <w:r w:rsidRPr="00946818">
        <w:rPr>
          <w:rFonts w:ascii="Arial" w:hAnsi="Arial" w:cs="Arial"/>
        </w:rPr>
        <w:t xml:space="preserve">prices have been updated </w:t>
      </w:r>
      <w:r w:rsidR="006E3346">
        <w:rPr>
          <w:rFonts w:ascii="Arial" w:hAnsi="Arial" w:cs="Arial"/>
        </w:rPr>
        <w:t xml:space="preserve">per Table 3 of the OEB letter </w:t>
      </w:r>
      <w:r w:rsidR="005576A3" w:rsidRPr="00946818">
        <w:rPr>
          <w:rFonts w:ascii="Arial" w:hAnsi="Arial" w:cs="Arial"/>
        </w:rPr>
        <w:t>(</w:t>
      </w:r>
      <w:r w:rsidR="00F335A1" w:rsidRPr="00946818">
        <w:rPr>
          <w:rFonts w:ascii="Arial" w:hAnsi="Arial" w:cs="Arial"/>
        </w:rPr>
        <w:t xml:space="preserve">see </w:t>
      </w:r>
      <w:r w:rsidR="00EC6B01">
        <w:rPr>
          <w:rFonts w:ascii="Arial" w:hAnsi="Arial" w:cs="Arial"/>
        </w:rPr>
        <w:t>s</w:t>
      </w:r>
      <w:r w:rsidR="006E3346">
        <w:rPr>
          <w:rFonts w:ascii="Arial" w:hAnsi="Arial" w:cs="Arial"/>
        </w:rPr>
        <w:t>eventh</w:t>
      </w:r>
      <w:r w:rsidR="005576A3" w:rsidRPr="00946818">
        <w:rPr>
          <w:rFonts w:ascii="Arial" w:hAnsi="Arial" w:cs="Arial"/>
        </w:rPr>
        <w:t xml:space="preserve"> reference)</w:t>
      </w:r>
      <w:r w:rsidRPr="00946818">
        <w:rPr>
          <w:rFonts w:ascii="Arial" w:hAnsi="Arial" w:cs="Arial"/>
        </w:rPr>
        <w:t xml:space="preserve"> </w:t>
      </w:r>
    </w:p>
    <w:p w14:paraId="6FE6823C" w14:textId="77777777" w:rsidR="000651FF" w:rsidRPr="00DC6C30" w:rsidRDefault="000651FF" w:rsidP="00F335A1">
      <w:pPr>
        <w:pStyle w:val="ListParagraph"/>
        <w:autoSpaceDE w:val="0"/>
        <w:autoSpaceDN w:val="0"/>
        <w:adjustRightInd w:val="0"/>
        <w:spacing w:after="0" w:line="240" w:lineRule="auto"/>
        <w:rPr>
          <w:rFonts w:ascii="Arial" w:hAnsi="Arial" w:cs="Arial"/>
          <w:sz w:val="24"/>
          <w:szCs w:val="24"/>
        </w:rPr>
      </w:pPr>
    </w:p>
    <w:p w14:paraId="7F1EE0F5" w14:textId="4C9048A7" w:rsidR="000F5CD4" w:rsidRPr="00DC6C30" w:rsidRDefault="000F5CD4" w:rsidP="00001518">
      <w:pPr>
        <w:pStyle w:val="ListParagraph"/>
        <w:numPr>
          <w:ilvl w:val="0"/>
          <w:numId w:val="8"/>
        </w:numPr>
        <w:autoSpaceDE w:val="0"/>
        <w:autoSpaceDN w:val="0"/>
        <w:adjustRightInd w:val="0"/>
        <w:spacing w:after="0" w:line="240" w:lineRule="auto"/>
        <w:rPr>
          <w:rFonts w:ascii="Arial" w:hAnsi="Arial" w:cs="Arial"/>
          <w:sz w:val="24"/>
          <w:szCs w:val="24"/>
        </w:rPr>
      </w:pPr>
      <w:r w:rsidRPr="00DC6C30">
        <w:rPr>
          <w:rFonts w:ascii="Arial" w:hAnsi="Arial" w:cs="Arial"/>
          <w:sz w:val="24"/>
          <w:szCs w:val="24"/>
        </w:rPr>
        <w:t xml:space="preserve">Tab 20 – Ontario Electricity Rebate has been updated to </w:t>
      </w:r>
      <w:r w:rsidR="00C77711" w:rsidRPr="00DC6C30">
        <w:rPr>
          <w:rFonts w:ascii="Arial" w:hAnsi="Arial" w:cs="Arial"/>
          <w:sz w:val="24"/>
          <w:szCs w:val="24"/>
        </w:rPr>
        <w:t>21.2</w:t>
      </w:r>
      <w:r w:rsidRPr="00DC6C30">
        <w:rPr>
          <w:rFonts w:ascii="Arial" w:hAnsi="Arial" w:cs="Arial"/>
          <w:sz w:val="24"/>
          <w:szCs w:val="24"/>
        </w:rPr>
        <w:t>%</w:t>
      </w:r>
      <w:r w:rsidR="005576A3" w:rsidRPr="00DC6C30">
        <w:rPr>
          <w:rFonts w:ascii="Arial" w:hAnsi="Arial" w:cs="Arial"/>
          <w:sz w:val="24"/>
          <w:szCs w:val="24"/>
        </w:rPr>
        <w:t xml:space="preserve"> (</w:t>
      </w:r>
      <w:r w:rsidR="00F335A1" w:rsidRPr="00DC6C30">
        <w:rPr>
          <w:rFonts w:ascii="Arial" w:hAnsi="Arial" w:cs="Arial"/>
          <w:sz w:val="24"/>
          <w:szCs w:val="24"/>
        </w:rPr>
        <w:t>see</w:t>
      </w:r>
      <w:r w:rsidR="005576A3" w:rsidRPr="00DC6C30">
        <w:rPr>
          <w:rFonts w:ascii="Arial" w:hAnsi="Arial" w:cs="Arial"/>
          <w:sz w:val="24"/>
          <w:szCs w:val="24"/>
        </w:rPr>
        <w:t xml:space="preserve"> </w:t>
      </w:r>
      <w:r w:rsidR="00EC6B01">
        <w:rPr>
          <w:rFonts w:ascii="Arial" w:hAnsi="Arial" w:cs="Arial"/>
          <w:sz w:val="24"/>
          <w:szCs w:val="24"/>
        </w:rPr>
        <w:t>seventh</w:t>
      </w:r>
      <w:r w:rsidR="008167C6">
        <w:rPr>
          <w:rFonts w:ascii="Arial" w:hAnsi="Arial" w:cs="Arial"/>
          <w:sz w:val="24"/>
          <w:szCs w:val="24"/>
        </w:rPr>
        <w:t xml:space="preserve"> </w:t>
      </w:r>
      <w:r w:rsidR="005576A3" w:rsidRPr="00DC6C30">
        <w:rPr>
          <w:rFonts w:ascii="Arial" w:hAnsi="Arial" w:cs="Arial"/>
          <w:sz w:val="24"/>
          <w:szCs w:val="24"/>
        </w:rPr>
        <w:t>reference)</w:t>
      </w:r>
    </w:p>
    <w:p w14:paraId="3673DB61" w14:textId="77777777" w:rsidR="00182E97" w:rsidRPr="00DC6C30" w:rsidRDefault="00182E97" w:rsidP="00F335A1">
      <w:pPr>
        <w:pStyle w:val="BodyText"/>
        <w:spacing w:before="1" w:line="276" w:lineRule="auto"/>
      </w:pPr>
    </w:p>
    <w:p w14:paraId="484834A1" w14:textId="65666450" w:rsidR="00182E97" w:rsidRPr="00DC6C30" w:rsidRDefault="00182E97" w:rsidP="00F335A1">
      <w:pPr>
        <w:pStyle w:val="BodyText"/>
        <w:spacing w:before="1" w:line="276" w:lineRule="auto"/>
        <w:rPr>
          <w:rFonts w:eastAsiaTheme="minorHAnsi"/>
          <w:lang w:val="en-CA"/>
        </w:rPr>
      </w:pPr>
      <w:r w:rsidRPr="00DC6C30">
        <w:rPr>
          <w:rFonts w:eastAsiaTheme="minorHAnsi"/>
          <w:lang w:val="en-CA"/>
        </w:rPr>
        <w:t xml:space="preserve">Please note there may be further updates before final issuance of the </w:t>
      </w:r>
      <w:r w:rsidR="00C85F6E" w:rsidRPr="00DC6C30">
        <w:rPr>
          <w:rFonts w:eastAsiaTheme="minorHAnsi"/>
          <w:lang w:val="en-CA"/>
        </w:rPr>
        <w:t>d</w:t>
      </w:r>
      <w:r w:rsidRPr="00DC6C30">
        <w:rPr>
          <w:rFonts w:eastAsiaTheme="minorHAnsi"/>
          <w:lang w:val="en-CA"/>
        </w:rPr>
        <w:t>ecision</w:t>
      </w:r>
      <w:r w:rsidR="00C85F6E" w:rsidRPr="00DC6C30">
        <w:rPr>
          <w:rFonts w:eastAsiaTheme="minorHAnsi"/>
          <w:lang w:val="en-CA"/>
        </w:rPr>
        <w:t>.</w:t>
      </w:r>
    </w:p>
    <w:p w14:paraId="1517E347" w14:textId="77777777" w:rsidR="00182E97" w:rsidRPr="00DC6C30" w:rsidRDefault="00182E97" w:rsidP="00F335A1">
      <w:pPr>
        <w:pStyle w:val="BodyText"/>
        <w:spacing w:before="11" w:line="276" w:lineRule="auto"/>
        <w:rPr>
          <w:rFonts w:asciiTheme="minorHAnsi" w:hAnsiTheme="minorHAnsi" w:cstheme="minorHAnsi"/>
          <w:sz w:val="22"/>
          <w:szCs w:val="22"/>
        </w:rPr>
      </w:pPr>
    </w:p>
    <w:p w14:paraId="5EA900A7" w14:textId="77777777" w:rsidR="000F5CD4" w:rsidRPr="00DC6C30" w:rsidRDefault="000F5CD4" w:rsidP="00F335A1">
      <w:pPr>
        <w:autoSpaceDE w:val="0"/>
        <w:autoSpaceDN w:val="0"/>
        <w:adjustRightInd w:val="0"/>
        <w:spacing w:after="0"/>
        <w:rPr>
          <w:rFonts w:cstheme="minorHAnsi"/>
        </w:rPr>
      </w:pPr>
    </w:p>
    <w:p w14:paraId="148AE501" w14:textId="77777777" w:rsidR="000F5CD4" w:rsidRPr="00DC6C30" w:rsidRDefault="000F5CD4" w:rsidP="00F335A1">
      <w:pPr>
        <w:rPr>
          <w:rFonts w:ascii="Arial" w:hAnsi="Arial" w:cs="Arial"/>
          <w:bCs/>
          <w:sz w:val="24"/>
          <w:szCs w:val="24"/>
        </w:rPr>
      </w:pPr>
      <w:r w:rsidRPr="00DC6C30">
        <w:rPr>
          <w:rFonts w:ascii="Arial" w:hAnsi="Arial" w:cs="Arial"/>
          <w:bCs/>
          <w:sz w:val="24"/>
          <w:szCs w:val="24"/>
        </w:rPr>
        <w:t>Question(s):</w:t>
      </w:r>
    </w:p>
    <w:p w14:paraId="1E42CB47" w14:textId="6ECDCEE0" w:rsidR="00C85F6E" w:rsidRPr="00F335A1" w:rsidRDefault="00C85F6E" w:rsidP="00001518">
      <w:pPr>
        <w:pStyle w:val="ListParagraph"/>
        <w:widowControl w:val="0"/>
        <w:numPr>
          <w:ilvl w:val="0"/>
          <w:numId w:val="3"/>
        </w:numPr>
        <w:tabs>
          <w:tab w:val="left" w:pos="840"/>
        </w:tabs>
        <w:autoSpaceDE w:val="0"/>
        <w:autoSpaceDN w:val="0"/>
        <w:spacing w:before="105" w:after="0"/>
        <w:ind w:right="240"/>
        <w:contextualSpacing w:val="0"/>
        <w:rPr>
          <w:rFonts w:ascii="Arial" w:hAnsi="Arial" w:cs="Arial"/>
          <w:sz w:val="24"/>
          <w:szCs w:val="24"/>
        </w:rPr>
      </w:pPr>
      <w:r w:rsidRPr="00DC6C30">
        <w:rPr>
          <w:rFonts w:ascii="Arial" w:hAnsi="Arial" w:cs="Arial"/>
          <w:sz w:val="24"/>
          <w:szCs w:val="24"/>
        </w:rPr>
        <w:t>Please confirm</w:t>
      </w:r>
      <w:r w:rsidRPr="00F335A1">
        <w:rPr>
          <w:rFonts w:ascii="Arial" w:hAnsi="Arial" w:cs="Arial"/>
          <w:sz w:val="24"/>
          <w:szCs w:val="24"/>
        </w:rPr>
        <w:t xml:space="preserve"> when </w:t>
      </w:r>
      <w:r w:rsidRPr="00F335A1">
        <w:rPr>
          <w:rFonts w:ascii="Arial" w:eastAsia="Calibri" w:hAnsi="Arial" w:cs="Arial"/>
          <w:sz w:val="24"/>
          <w:szCs w:val="24"/>
        </w:rPr>
        <w:t xml:space="preserve">London Hydro </w:t>
      </w:r>
      <w:r w:rsidRPr="00F335A1">
        <w:rPr>
          <w:rFonts w:ascii="Arial" w:hAnsi="Arial" w:cs="Arial"/>
          <w:sz w:val="24"/>
          <w:szCs w:val="24"/>
        </w:rPr>
        <w:t>is intending to file their election for the IPI level used to determine the price cap IR adjustment for the 2021 rate</w:t>
      </w:r>
      <w:r w:rsidRPr="00F335A1">
        <w:rPr>
          <w:rFonts w:ascii="Arial" w:hAnsi="Arial" w:cs="Arial"/>
          <w:spacing w:val="-1"/>
          <w:sz w:val="24"/>
          <w:szCs w:val="24"/>
        </w:rPr>
        <w:t xml:space="preserve"> </w:t>
      </w:r>
      <w:r w:rsidRPr="00F335A1">
        <w:rPr>
          <w:rFonts w:ascii="Arial" w:hAnsi="Arial" w:cs="Arial"/>
          <w:sz w:val="24"/>
          <w:szCs w:val="24"/>
        </w:rPr>
        <w:t>year.</w:t>
      </w:r>
    </w:p>
    <w:p w14:paraId="01F69098" w14:textId="77777777" w:rsidR="00C85F6E" w:rsidRPr="00F335A1" w:rsidRDefault="00C85F6E" w:rsidP="00F335A1">
      <w:pPr>
        <w:pStyle w:val="ListParagraph"/>
        <w:autoSpaceDE w:val="0"/>
        <w:autoSpaceDN w:val="0"/>
        <w:adjustRightInd w:val="0"/>
        <w:spacing w:after="0"/>
        <w:rPr>
          <w:rFonts w:ascii="Arial" w:hAnsi="Arial" w:cs="Arial"/>
          <w:sz w:val="24"/>
          <w:szCs w:val="24"/>
        </w:rPr>
      </w:pPr>
    </w:p>
    <w:p w14:paraId="2F802524" w14:textId="0BA988ED" w:rsidR="000F5CD4" w:rsidRPr="00F335A1" w:rsidRDefault="000F5CD4" w:rsidP="00001518">
      <w:pPr>
        <w:pStyle w:val="ListParagraph"/>
        <w:numPr>
          <w:ilvl w:val="0"/>
          <w:numId w:val="3"/>
        </w:numPr>
        <w:autoSpaceDE w:val="0"/>
        <w:autoSpaceDN w:val="0"/>
        <w:adjustRightInd w:val="0"/>
        <w:spacing w:after="0"/>
        <w:rPr>
          <w:rFonts w:ascii="Arial" w:hAnsi="Arial" w:cs="Arial"/>
          <w:sz w:val="24"/>
          <w:szCs w:val="24"/>
        </w:rPr>
      </w:pPr>
      <w:r w:rsidRPr="00F335A1">
        <w:rPr>
          <w:rFonts w:ascii="Arial" w:hAnsi="Arial" w:cs="Arial"/>
          <w:sz w:val="24"/>
          <w:szCs w:val="24"/>
        </w:rPr>
        <w:t xml:space="preserve">Please confirm that </w:t>
      </w:r>
      <w:r w:rsidRPr="00F335A1">
        <w:rPr>
          <w:rFonts w:ascii="Arial" w:eastAsia="Calibri" w:hAnsi="Arial" w:cs="Arial"/>
          <w:sz w:val="24"/>
          <w:szCs w:val="24"/>
        </w:rPr>
        <w:t xml:space="preserve">London Hydro </w:t>
      </w:r>
      <w:proofErr w:type="gramStart"/>
      <w:r w:rsidRPr="00F335A1">
        <w:rPr>
          <w:rFonts w:ascii="Arial" w:eastAsia="Calibri" w:hAnsi="Arial" w:cs="Arial"/>
          <w:sz w:val="24"/>
          <w:szCs w:val="24"/>
        </w:rPr>
        <w:t>is in agreement</w:t>
      </w:r>
      <w:proofErr w:type="gramEnd"/>
      <w:r w:rsidRPr="00F335A1">
        <w:rPr>
          <w:rFonts w:ascii="Arial" w:eastAsia="Calibri" w:hAnsi="Arial" w:cs="Arial"/>
          <w:sz w:val="24"/>
          <w:szCs w:val="24"/>
        </w:rPr>
        <w:t xml:space="preserve"> with OEB staff updates to Rate Generator Model.</w:t>
      </w:r>
    </w:p>
    <w:p w14:paraId="621D9E62" w14:textId="77777777" w:rsidR="000F5CD4" w:rsidRPr="00F335A1" w:rsidRDefault="000F5CD4" w:rsidP="00F335A1">
      <w:pPr>
        <w:pStyle w:val="ListParagraph"/>
        <w:autoSpaceDE w:val="0"/>
        <w:autoSpaceDN w:val="0"/>
        <w:adjustRightInd w:val="0"/>
        <w:spacing w:after="0"/>
        <w:rPr>
          <w:rFonts w:ascii="Arial" w:hAnsi="Arial" w:cs="Arial"/>
          <w:sz w:val="24"/>
          <w:szCs w:val="24"/>
        </w:rPr>
      </w:pPr>
    </w:p>
    <w:p w14:paraId="2551FA4F" w14:textId="563FFD91" w:rsidR="000F5CD4" w:rsidRPr="00223691" w:rsidRDefault="000F5CD4" w:rsidP="00001518">
      <w:pPr>
        <w:pStyle w:val="ListParagraph"/>
        <w:numPr>
          <w:ilvl w:val="0"/>
          <w:numId w:val="3"/>
        </w:numPr>
        <w:autoSpaceDE w:val="0"/>
        <w:autoSpaceDN w:val="0"/>
        <w:adjustRightInd w:val="0"/>
        <w:spacing w:after="0"/>
        <w:rPr>
          <w:rFonts w:ascii="Arial" w:hAnsi="Arial" w:cs="Arial"/>
          <w:sz w:val="24"/>
          <w:szCs w:val="24"/>
        </w:rPr>
      </w:pPr>
      <w:r w:rsidRPr="00B065B9">
        <w:rPr>
          <w:rFonts w:ascii="Arial" w:hAnsi="Arial" w:cs="Arial"/>
          <w:sz w:val="24"/>
          <w:szCs w:val="24"/>
        </w:rPr>
        <w:t xml:space="preserve">Based on </w:t>
      </w:r>
      <w:r>
        <w:rPr>
          <w:rFonts w:ascii="Arial" w:eastAsia="Calibri" w:hAnsi="Arial" w:cs="Arial"/>
          <w:sz w:val="24"/>
          <w:szCs w:val="24"/>
        </w:rPr>
        <w:t>London Hydro</w:t>
      </w:r>
      <w:r w:rsidRPr="001A37AE">
        <w:rPr>
          <w:rFonts w:ascii="Arial" w:hAnsi="Arial" w:cs="Arial"/>
          <w:sz w:val="24"/>
          <w:szCs w:val="24"/>
        </w:rPr>
        <w:t>’s resp</w:t>
      </w:r>
      <w:r w:rsidRPr="00B065B9">
        <w:rPr>
          <w:rFonts w:ascii="Arial" w:hAnsi="Arial" w:cs="Arial"/>
          <w:sz w:val="24"/>
          <w:szCs w:val="24"/>
        </w:rPr>
        <w:t>onses to the</w:t>
      </w:r>
      <w:r w:rsidR="00946818">
        <w:rPr>
          <w:rFonts w:ascii="Arial" w:hAnsi="Arial" w:cs="Arial"/>
          <w:sz w:val="24"/>
          <w:szCs w:val="24"/>
        </w:rPr>
        <w:t>se staff</w:t>
      </w:r>
      <w:r w:rsidRPr="00B065B9">
        <w:rPr>
          <w:rFonts w:ascii="Arial" w:hAnsi="Arial" w:cs="Arial"/>
          <w:sz w:val="24"/>
          <w:szCs w:val="24"/>
        </w:rPr>
        <w:t xml:space="preserve"> questions, please re-file all applicable</w:t>
      </w:r>
      <w:r w:rsidRPr="00223691">
        <w:rPr>
          <w:rFonts w:ascii="Arial" w:hAnsi="Arial" w:cs="Arial"/>
          <w:sz w:val="24"/>
          <w:szCs w:val="24"/>
        </w:rPr>
        <w:t xml:space="preserve"> model</w:t>
      </w:r>
      <w:r>
        <w:rPr>
          <w:rFonts w:ascii="Arial" w:hAnsi="Arial" w:cs="Arial"/>
          <w:sz w:val="24"/>
          <w:szCs w:val="24"/>
        </w:rPr>
        <w:t>(</w:t>
      </w:r>
      <w:r w:rsidRPr="00223691">
        <w:rPr>
          <w:rFonts w:ascii="Arial" w:hAnsi="Arial" w:cs="Arial"/>
          <w:sz w:val="24"/>
          <w:szCs w:val="24"/>
        </w:rPr>
        <w:t>s</w:t>
      </w:r>
      <w:r>
        <w:rPr>
          <w:rFonts w:ascii="Arial" w:hAnsi="Arial" w:cs="Arial"/>
          <w:sz w:val="24"/>
          <w:szCs w:val="24"/>
        </w:rPr>
        <w:t>)</w:t>
      </w:r>
      <w:r w:rsidRPr="00223691">
        <w:rPr>
          <w:rFonts w:ascii="Arial" w:hAnsi="Arial" w:cs="Arial"/>
          <w:sz w:val="24"/>
          <w:szCs w:val="24"/>
        </w:rPr>
        <w:t xml:space="preserve">, </w:t>
      </w:r>
      <w:proofErr w:type="spellStart"/>
      <w:r w:rsidRPr="00223691">
        <w:rPr>
          <w:rFonts w:ascii="Arial" w:hAnsi="Arial" w:cs="Arial"/>
          <w:sz w:val="24"/>
          <w:szCs w:val="24"/>
        </w:rPr>
        <w:t>workform</w:t>
      </w:r>
      <w:proofErr w:type="spellEnd"/>
      <w:r>
        <w:rPr>
          <w:rFonts w:ascii="Arial" w:hAnsi="Arial" w:cs="Arial"/>
          <w:sz w:val="24"/>
          <w:szCs w:val="24"/>
        </w:rPr>
        <w:t>(</w:t>
      </w:r>
      <w:r w:rsidRPr="00223691">
        <w:rPr>
          <w:rFonts w:ascii="Arial" w:hAnsi="Arial" w:cs="Arial"/>
          <w:sz w:val="24"/>
          <w:szCs w:val="24"/>
        </w:rPr>
        <w:t>s</w:t>
      </w:r>
      <w:r>
        <w:rPr>
          <w:rFonts w:ascii="Arial" w:hAnsi="Arial" w:cs="Arial"/>
          <w:sz w:val="24"/>
          <w:szCs w:val="24"/>
        </w:rPr>
        <w:t>)</w:t>
      </w:r>
      <w:r w:rsidRPr="00223691">
        <w:rPr>
          <w:rFonts w:ascii="Arial" w:hAnsi="Arial" w:cs="Arial"/>
          <w:sz w:val="24"/>
          <w:szCs w:val="24"/>
        </w:rPr>
        <w:t xml:space="preserve"> and/or appendices to reflect </w:t>
      </w:r>
      <w:r>
        <w:rPr>
          <w:rFonts w:ascii="Arial" w:hAnsi="Arial" w:cs="Arial"/>
          <w:sz w:val="24"/>
          <w:szCs w:val="24"/>
        </w:rPr>
        <w:t>any revisions required</w:t>
      </w:r>
      <w:r w:rsidRPr="00223691">
        <w:rPr>
          <w:rFonts w:ascii="Arial" w:hAnsi="Arial" w:cs="Arial"/>
          <w:sz w:val="24"/>
          <w:szCs w:val="24"/>
        </w:rPr>
        <w:t>.</w:t>
      </w:r>
    </w:p>
    <w:p w14:paraId="54FC60F8" w14:textId="77777777" w:rsidR="000F5CD4" w:rsidRDefault="000F5CD4" w:rsidP="000F5CD4">
      <w:pPr>
        <w:pStyle w:val="ListParagraph"/>
        <w:autoSpaceDE w:val="0"/>
        <w:autoSpaceDN w:val="0"/>
        <w:adjustRightInd w:val="0"/>
        <w:spacing w:after="0"/>
        <w:rPr>
          <w:rFonts w:ascii="Arial" w:hAnsi="Arial" w:cs="Arial"/>
          <w:sz w:val="24"/>
          <w:szCs w:val="24"/>
        </w:rPr>
      </w:pPr>
    </w:p>
    <w:p w14:paraId="7120F3BD" w14:textId="77777777" w:rsidR="000F5CD4" w:rsidRPr="00223691" w:rsidRDefault="000F5CD4" w:rsidP="00001518">
      <w:pPr>
        <w:pStyle w:val="ListParagraph"/>
        <w:numPr>
          <w:ilvl w:val="0"/>
          <w:numId w:val="3"/>
        </w:numPr>
        <w:autoSpaceDE w:val="0"/>
        <w:autoSpaceDN w:val="0"/>
        <w:adjustRightInd w:val="0"/>
        <w:spacing w:after="0"/>
        <w:rPr>
          <w:rFonts w:ascii="Arial" w:hAnsi="Arial" w:cs="Arial"/>
          <w:sz w:val="24"/>
          <w:szCs w:val="24"/>
        </w:rPr>
      </w:pPr>
      <w:r w:rsidRPr="00223691">
        <w:rPr>
          <w:rFonts w:ascii="Arial" w:hAnsi="Arial" w:cs="Arial"/>
          <w:sz w:val="24"/>
          <w:szCs w:val="24"/>
        </w:rPr>
        <w:t>Please summarize all updates to the application, model(s) and/or appendices submitted in this proceeding.</w:t>
      </w:r>
    </w:p>
    <w:p w14:paraId="452D9E93" w14:textId="77777777" w:rsidR="00E76172" w:rsidRPr="002C5131" w:rsidRDefault="00E76172" w:rsidP="008E6045">
      <w:pPr>
        <w:rPr>
          <w:rFonts w:ascii="Arial" w:hAnsi="Arial" w:cs="Arial"/>
          <w:bCs/>
          <w:sz w:val="24"/>
          <w:szCs w:val="24"/>
        </w:rPr>
      </w:pPr>
    </w:p>
    <w:sectPr w:rsidR="00E76172" w:rsidRPr="002C5131" w:rsidSect="00EA0919">
      <w:footerReference w:type="default" r:id="rId21"/>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070D9" w14:textId="77777777" w:rsidR="008A1F0F" w:rsidRDefault="008A1F0F" w:rsidP="00A27941">
      <w:pPr>
        <w:spacing w:after="0" w:line="240" w:lineRule="auto"/>
      </w:pPr>
      <w:r>
        <w:separator/>
      </w:r>
    </w:p>
  </w:endnote>
  <w:endnote w:type="continuationSeparator" w:id="0">
    <w:p w14:paraId="468D9E4C" w14:textId="77777777" w:rsidR="008A1F0F" w:rsidRDefault="008A1F0F" w:rsidP="00A27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2865856"/>
      <w:docPartObj>
        <w:docPartGallery w:val="Page Numbers (Bottom of Page)"/>
        <w:docPartUnique/>
      </w:docPartObj>
    </w:sdtPr>
    <w:sdtEndPr/>
    <w:sdtContent>
      <w:sdt>
        <w:sdtPr>
          <w:id w:val="-1769616900"/>
          <w:docPartObj>
            <w:docPartGallery w:val="Page Numbers (Top of Page)"/>
            <w:docPartUnique/>
          </w:docPartObj>
        </w:sdtPr>
        <w:sdtEndPr/>
        <w:sdtContent>
          <w:p w14:paraId="6979BDB7" w14:textId="2B42002A" w:rsidR="008A1F0F" w:rsidRDefault="008A1F0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2D92375" w14:textId="77777777" w:rsidR="008A1F0F" w:rsidRDefault="008A1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A200F" w14:textId="77777777" w:rsidR="008A1F0F" w:rsidRDefault="008A1F0F" w:rsidP="00A27941">
      <w:pPr>
        <w:spacing w:after="0" w:line="240" w:lineRule="auto"/>
      </w:pPr>
      <w:r>
        <w:separator/>
      </w:r>
    </w:p>
  </w:footnote>
  <w:footnote w:type="continuationSeparator" w:id="0">
    <w:p w14:paraId="52C5C763" w14:textId="77777777" w:rsidR="008A1F0F" w:rsidRDefault="008A1F0F" w:rsidP="00A27941">
      <w:pPr>
        <w:spacing w:after="0" w:line="240" w:lineRule="auto"/>
      </w:pPr>
      <w:r>
        <w:continuationSeparator/>
      </w:r>
    </w:p>
  </w:footnote>
  <w:footnote w:id="1">
    <w:p w14:paraId="342DFFFD" w14:textId="2FBE991D" w:rsidR="005675D3" w:rsidRPr="005675D3" w:rsidRDefault="005675D3">
      <w:pPr>
        <w:pStyle w:val="FootnoteText"/>
        <w:rPr>
          <w:rFonts w:cstheme="minorHAnsi"/>
          <w:sz w:val="22"/>
          <w:szCs w:val="22"/>
          <w:lang w:val="en-US"/>
        </w:rPr>
      </w:pPr>
      <w:r w:rsidRPr="005675D3">
        <w:rPr>
          <w:rStyle w:val="FootnoteReference"/>
          <w:rFonts w:cstheme="minorHAnsi"/>
          <w:sz w:val="22"/>
          <w:szCs w:val="22"/>
        </w:rPr>
        <w:footnoteRef/>
      </w:r>
      <w:r w:rsidRPr="005675D3">
        <w:rPr>
          <w:rFonts w:cstheme="minorHAnsi"/>
          <w:sz w:val="22"/>
          <w:szCs w:val="22"/>
        </w:rPr>
        <w:t xml:space="preserve"> </w:t>
      </w:r>
      <w:r w:rsidRPr="005675D3">
        <w:rPr>
          <w:rFonts w:cstheme="minorHAnsi"/>
          <w:bCs/>
          <w:sz w:val="22"/>
          <w:szCs w:val="22"/>
        </w:rPr>
        <w:t>EB-2017-0052, Decision and Rate Order, March 22, 2018</w:t>
      </w:r>
    </w:p>
  </w:footnote>
  <w:footnote w:id="2">
    <w:p w14:paraId="4A758BBE" w14:textId="6FEF87C7" w:rsidR="008167C6" w:rsidRPr="008167C6" w:rsidRDefault="008167C6">
      <w:pPr>
        <w:pStyle w:val="FootnoteText"/>
        <w:rPr>
          <w:lang w:val="en-US"/>
        </w:rPr>
      </w:pPr>
      <w:r>
        <w:rPr>
          <w:rStyle w:val="FootnoteReference"/>
        </w:rPr>
        <w:footnoteRef/>
      </w:r>
      <w:r>
        <w:t xml:space="preserve"> </w:t>
      </w:r>
      <w:r w:rsidRPr="00DC6C30">
        <w:rPr>
          <w:rFonts w:cstheme="minorHAnsi"/>
          <w:sz w:val="22"/>
          <w:szCs w:val="22"/>
        </w:rPr>
        <w:t xml:space="preserve">In light of the continued uncertainty regarding the COVID-19 pandemic, the OEB allowed utilities to elect the calculated IPI level per the OEB-approved methodology (offset by the applicable stretch factor and other adjustments for some plans) or a lower value. For the 2021 rate year, utilities also have the discretion to forego the inflationary increase entirely. The letter noted that utilities filing rate applications for May 1, 2021 shall make an election by February 5, 2021 (see </w:t>
      </w:r>
      <w:r w:rsidR="006E3346">
        <w:rPr>
          <w:rFonts w:cstheme="minorHAnsi"/>
          <w:sz w:val="22"/>
          <w:szCs w:val="22"/>
        </w:rPr>
        <w:t>sixth</w:t>
      </w:r>
      <w:r w:rsidRPr="00DC6C30">
        <w:rPr>
          <w:rFonts w:cstheme="minorHAnsi"/>
          <w:sz w:val="22"/>
          <w:szCs w:val="22"/>
        </w:rPr>
        <w:t xml:space="preserve"> reference).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4B7"/>
    <w:multiLevelType w:val="hybridMultilevel"/>
    <w:tmpl w:val="00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D1598"/>
    <w:multiLevelType w:val="hybridMultilevel"/>
    <w:tmpl w:val="527CE0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70879"/>
    <w:multiLevelType w:val="hybridMultilevel"/>
    <w:tmpl w:val="891686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770C2"/>
    <w:multiLevelType w:val="hybridMultilevel"/>
    <w:tmpl w:val="026A06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C643A"/>
    <w:multiLevelType w:val="hybridMultilevel"/>
    <w:tmpl w:val="58A66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36462"/>
    <w:multiLevelType w:val="hybridMultilevel"/>
    <w:tmpl w:val="B994E9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62378"/>
    <w:multiLevelType w:val="hybridMultilevel"/>
    <w:tmpl w:val="39C826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E16B6C"/>
    <w:multiLevelType w:val="hybridMultilevel"/>
    <w:tmpl w:val="D5DCF764"/>
    <w:lvl w:ilvl="0" w:tplc="D37CF8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F10AC2"/>
    <w:multiLevelType w:val="hybridMultilevel"/>
    <w:tmpl w:val="CA328056"/>
    <w:lvl w:ilvl="0" w:tplc="D538728A">
      <w:numFmt w:val="bullet"/>
      <w:lvlText w:val=""/>
      <w:lvlJc w:val="left"/>
      <w:pPr>
        <w:ind w:left="840" w:hanging="360"/>
      </w:pPr>
      <w:rPr>
        <w:rFonts w:ascii="Symbol" w:eastAsia="Symbol" w:hAnsi="Symbol" w:cs="Symbol" w:hint="default"/>
        <w:w w:val="100"/>
        <w:sz w:val="24"/>
        <w:szCs w:val="24"/>
        <w:lang w:val="en-US" w:eastAsia="en-US" w:bidi="ar-SA"/>
      </w:rPr>
    </w:lvl>
    <w:lvl w:ilvl="1" w:tplc="A6E2CF36">
      <w:numFmt w:val="bullet"/>
      <w:lvlText w:val="o"/>
      <w:lvlJc w:val="left"/>
      <w:pPr>
        <w:ind w:left="1560" w:hanging="360"/>
      </w:pPr>
      <w:rPr>
        <w:rFonts w:ascii="Courier New" w:eastAsia="Courier New" w:hAnsi="Courier New" w:cs="Courier New" w:hint="default"/>
        <w:w w:val="99"/>
        <w:sz w:val="24"/>
        <w:szCs w:val="24"/>
        <w:lang w:val="en-US" w:eastAsia="en-US" w:bidi="ar-SA"/>
      </w:rPr>
    </w:lvl>
    <w:lvl w:ilvl="2" w:tplc="E3D0346A">
      <w:numFmt w:val="bullet"/>
      <w:lvlText w:val="•"/>
      <w:lvlJc w:val="left"/>
      <w:pPr>
        <w:ind w:left="2451" w:hanging="360"/>
      </w:pPr>
      <w:rPr>
        <w:rFonts w:hint="default"/>
        <w:lang w:val="en-US" w:eastAsia="en-US" w:bidi="ar-SA"/>
      </w:rPr>
    </w:lvl>
    <w:lvl w:ilvl="3" w:tplc="380205FE">
      <w:numFmt w:val="bullet"/>
      <w:lvlText w:val="•"/>
      <w:lvlJc w:val="left"/>
      <w:pPr>
        <w:ind w:left="3342" w:hanging="360"/>
      </w:pPr>
      <w:rPr>
        <w:rFonts w:hint="default"/>
        <w:lang w:val="en-US" w:eastAsia="en-US" w:bidi="ar-SA"/>
      </w:rPr>
    </w:lvl>
    <w:lvl w:ilvl="4" w:tplc="3604B478">
      <w:numFmt w:val="bullet"/>
      <w:lvlText w:val="•"/>
      <w:lvlJc w:val="left"/>
      <w:pPr>
        <w:ind w:left="4233" w:hanging="360"/>
      </w:pPr>
      <w:rPr>
        <w:rFonts w:hint="default"/>
        <w:lang w:val="en-US" w:eastAsia="en-US" w:bidi="ar-SA"/>
      </w:rPr>
    </w:lvl>
    <w:lvl w:ilvl="5" w:tplc="DBCEFB78">
      <w:numFmt w:val="bullet"/>
      <w:lvlText w:val="•"/>
      <w:lvlJc w:val="left"/>
      <w:pPr>
        <w:ind w:left="5124" w:hanging="360"/>
      </w:pPr>
      <w:rPr>
        <w:rFonts w:hint="default"/>
        <w:lang w:val="en-US" w:eastAsia="en-US" w:bidi="ar-SA"/>
      </w:rPr>
    </w:lvl>
    <w:lvl w:ilvl="6" w:tplc="BBBCB254">
      <w:numFmt w:val="bullet"/>
      <w:lvlText w:val="•"/>
      <w:lvlJc w:val="left"/>
      <w:pPr>
        <w:ind w:left="6015" w:hanging="360"/>
      </w:pPr>
      <w:rPr>
        <w:rFonts w:hint="default"/>
        <w:lang w:val="en-US" w:eastAsia="en-US" w:bidi="ar-SA"/>
      </w:rPr>
    </w:lvl>
    <w:lvl w:ilvl="7" w:tplc="F5E6012E">
      <w:numFmt w:val="bullet"/>
      <w:lvlText w:val="•"/>
      <w:lvlJc w:val="left"/>
      <w:pPr>
        <w:ind w:left="6906" w:hanging="360"/>
      </w:pPr>
      <w:rPr>
        <w:rFonts w:hint="default"/>
        <w:lang w:val="en-US" w:eastAsia="en-US" w:bidi="ar-SA"/>
      </w:rPr>
    </w:lvl>
    <w:lvl w:ilvl="8" w:tplc="885CB840">
      <w:numFmt w:val="bullet"/>
      <w:lvlText w:val="•"/>
      <w:lvlJc w:val="left"/>
      <w:pPr>
        <w:ind w:left="7797" w:hanging="360"/>
      </w:pPr>
      <w:rPr>
        <w:rFonts w:hint="default"/>
        <w:lang w:val="en-US" w:eastAsia="en-US" w:bidi="ar-SA"/>
      </w:rPr>
    </w:lvl>
  </w:abstractNum>
  <w:abstractNum w:abstractNumId="9" w15:restartNumberingAfterBreak="0">
    <w:nsid w:val="33A61787"/>
    <w:multiLevelType w:val="hybridMultilevel"/>
    <w:tmpl w:val="A86CA3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919CE"/>
    <w:multiLevelType w:val="hybridMultilevel"/>
    <w:tmpl w:val="D4CAE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D4899"/>
    <w:multiLevelType w:val="hybridMultilevel"/>
    <w:tmpl w:val="963E5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061EA"/>
    <w:multiLevelType w:val="hybridMultilevel"/>
    <w:tmpl w:val="109E03C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15:restartNumberingAfterBreak="0">
    <w:nsid w:val="47B40AA2"/>
    <w:multiLevelType w:val="hybridMultilevel"/>
    <w:tmpl w:val="EE56F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B0CBC"/>
    <w:multiLevelType w:val="hybridMultilevel"/>
    <w:tmpl w:val="7028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254E6"/>
    <w:multiLevelType w:val="hybridMultilevel"/>
    <w:tmpl w:val="A86CA3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3E6BFA"/>
    <w:multiLevelType w:val="hybridMultilevel"/>
    <w:tmpl w:val="2C70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FC75D4"/>
    <w:multiLevelType w:val="hybridMultilevel"/>
    <w:tmpl w:val="37123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D56FB8"/>
    <w:multiLevelType w:val="hybridMultilevel"/>
    <w:tmpl w:val="5BD6B6FA"/>
    <w:lvl w:ilvl="0" w:tplc="AFBEA8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3C1471"/>
    <w:multiLevelType w:val="hybridMultilevel"/>
    <w:tmpl w:val="E6784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F2BD0"/>
    <w:multiLevelType w:val="hybridMultilevel"/>
    <w:tmpl w:val="39D28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5"/>
  </w:num>
  <w:num w:numId="4">
    <w:abstractNumId w:val="0"/>
  </w:num>
  <w:num w:numId="5">
    <w:abstractNumId w:val="19"/>
  </w:num>
  <w:num w:numId="6">
    <w:abstractNumId w:val="9"/>
  </w:num>
  <w:num w:numId="7">
    <w:abstractNumId w:val="17"/>
  </w:num>
  <w:num w:numId="8">
    <w:abstractNumId w:val="11"/>
  </w:num>
  <w:num w:numId="9">
    <w:abstractNumId w:val="20"/>
  </w:num>
  <w:num w:numId="10">
    <w:abstractNumId w:val="18"/>
  </w:num>
  <w:num w:numId="11">
    <w:abstractNumId w:val="7"/>
  </w:num>
  <w:num w:numId="12">
    <w:abstractNumId w:val="16"/>
  </w:num>
  <w:num w:numId="13">
    <w:abstractNumId w:val="8"/>
  </w:num>
  <w:num w:numId="14">
    <w:abstractNumId w:val="6"/>
  </w:num>
  <w:num w:numId="15">
    <w:abstractNumId w:val="13"/>
  </w:num>
  <w:num w:numId="16">
    <w:abstractNumId w:val="1"/>
  </w:num>
  <w:num w:numId="17">
    <w:abstractNumId w:val="10"/>
  </w:num>
  <w:num w:numId="18">
    <w:abstractNumId w:val="2"/>
  </w:num>
  <w:num w:numId="19">
    <w:abstractNumId w:val="12"/>
  </w:num>
  <w:num w:numId="20">
    <w:abstractNumId w:val="3"/>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01518"/>
    <w:rsid w:val="00002375"/>
    <w:rsid w:val="0003073C"/>
    <w:rsid w:val="00032D84"/>
    <w:rsid w:val="00035337"/>
    <w:rsid w:val="00040669"/>
    <w:rsid w:val="00045B6C"/>
    <w:rsid w:val="00054071"/>
    <w:rsid w:val="0006126D"/>
    <w:rsid w:val="000651FF"/>
    <w:rsid w:val="0006546A"/>
    <w:rsid w:val="00067F57"/>
    <w:rsid w:val="00071BEC"/>
    <w:rsid w:val="00071D79"/>
    <w:rsid w:val="00074514"/>
    <w:rsid w:val="000832D4"/>
    <w:rsid w:val="00090160"/>
    <w:rsid w:val="00097FA4"/>
    <w:rsid w:val="000B3E7E"/>
    <w:rsid w:val="000C1AAF"/>
    <w:rsid w:val="000D223C"/>
    <w:rsid w:val="000D25A0"/>
    <w:rsid w:val="000E1093"/>
    <w:rsid w:val="000E4006"/>
    <w:rsid w:val="000F1E3A"/>
    <w:rsid w:val="000F5CD4"/>
    <w:rsid w:val="000F76CD"/>
    <w:rsid w:val="00133BE1"/>
    <w:rsid w:val="00146FA9"/>
    <w:rsid w:val="0015298E"/>
    <w:rsid w:val="0015311F"/>
    <w:rsid w:val="0016442E"/>
    <w:rsid w:val="00164E99"/>
    <w:rsid w:val="00175E3C"/>
    <w:rsid w:val="001777A7"/>
    <w:rsid w:val="00182E97"/>
    <w:rsid w:val="00183CC8"/>
    <w:rsid w:val="00185692"/>
    <w:rsid w:val="00187E9B"/>
    <w:rsid w:val="001927C2"/>
    <w:rsid w:val="001972A6"/>
    <w:rsid w:val="001A4DCD"/>
    <w:rsid w:val="001F37B0"/>
    <w:rsid w:val="00203092"/>
    <w:rsid w:val="002208C0"/>
    <w:rsid w:val="00224C06"/>
    <w:rsid w:val="00234A4B"/>
    <w:rsid w:val="002416BF"/>
    <w:rsid w:val="002512D1"/>
    <w:rsid w:val="0025687C"/>
    <w:rsid w:val="00274A48"/>
    <w:rsid w:val="00291CCC"/>
    <w:rsid w:val="002A6415"/>
    <w:rsid w:val="002B7B7C"/>
    <w:rsid w:val="002C2BF2"/>
    <w:rsid w:val="002C5131"/>
    <w:rsid w:val="002C79E2"/>
    <w:rsid w:val="002C7EF6"/>
    <w:rsid w:val="002D4924"/>
    <w:rsid w:val="002E4920"/>
    <w:rsid w:val="002E55EE"/>
    <w:rsid w:val="002F4756"/>
    <w:rsid w:val="00302509"/>
    <w:rsid w:val="003049C5"/>
    <w:rsid w:val="0032306A"/>
    <w:rsid w:val="00327B53"/>
    <w:rsid w:val="003303BF"/>
    <w:rsid w:val="00340C00"/>
    <w:rsid w:val="003702D1"/>
    <w:rsid w:val="00373FAD"/>
    <w:rsid w:val="003777B5"/>
    <w:rsid w:val="003832E7"/>
    <w:rsid w:val="003A20A0"/>
    <w:rsid w:val="003A58B0"/>
    <w:rsid w:val="003B0C22"/>
    <w:rsid w:val="003B6561"/>
    <w:rsid w:val="003D3785"/>
    <w:rsid w:val="003F0CB3"/>
    <w:rsid w:val="00400DFC"/>
    <w:rsid w:val="00406D05"/>
    <w:rsid w:val="00412AA4"/>
    <w:rsid w:val="00412DC6"/>
    <w:rsid w:val="00425009"/>
    <w:rsid w:val="00432AA4"/>
    <w:rsid w:val="004377B0"/>
    <w:rsid w:val="00450C5E"/>
    <w:rsid w:val="004572BD"/>
    <w:rsid w:val="00471CBA"/>
    <w:rsid w:val="00472C81"/>
    <w:rsid w:val="00475032"/>
    <w:rsid w:val="00483A33"/>
    <w:rsid w:val="004859EF"/>
    <w:rsid w:val="004A179C"/>
    <w:rsid w:val="004D76AB"/>
    <w:rsid w:val="004F6448"/>
    <w:rsid w:val="00511EC2"/>
    <w:rsid w:val="005164F5"/>
    <w:rsid w:val="0052560F"/>
    <w:rsid w:val="00532129"/>
    <w:rsid w:val="005345A3"/>
    <w:rsid w:val="005576A3"/>
    <w:rsid w:val="00557A50"/>
    <w:rsid w:val="005666F2"/>
    <w:rsid w:val="005675D3"/>
    <w:rsid w:val="00572064"/>
    <w:rsid w:val="00584369"/>
    <w:rsid w:val="00587A35"/>
    <w:rsid w:val="00594D02"/>
    <w:rsid w:val="005C0258"/>
    <w:rsid w:val="005C2CAE"/>
    <w:rsid w:val="005D05E5"/>
    <w:rsid w:val="005D0838"/>
    <w:rsid w:val="005D3148"/>
    <w:rsid w:val="005E47DE"/>
    <w:rsid w:val="005F4693"/>
    <w:rsid w:val="005F621A"/>
    <w:rsid w:val="00623602"/>
    <w:rsid w:val="006243B2"/>
    <w:rsid w:val="006274A3"/>
    <w:rsid w:val="00637DB5"/>
    <w:rsid w:val="0064279A"/>
    <w:rsid w:val="00644305"/>
    <w:rsid w:val="00651C98"/>
    <w:rsid w:val="006565EC"/>
    <w:rsid w:val="00671572"/>
    <w:rsid w:val="00687A88"/>
    <w:rsid w:val="00694644"/>
    <w:rsid w:val="0069530C"/>
    <w:rsid w:val="006A5D23"/>
    <w:rsid w:val="006C0D38"/>
    <w:rsid w:val="006C6E5A"/>
    <w:rsid w:val="006D2290"/>
    <w:rsid w:val="006D468F"/>
    <w:rsid w:val="006E3346"/>
    <w:rsid w:val="006E3D58"/>
    <w:rsid w:val="006F28BF"/>
    <w:rsid w:val="00704EE5"/>
    <w:rsid w:val="007066E2"/>
    <w:rsid w:val="0071493F"/>
    <w:rsid w:val="00720E07"/>
    <w:rsid w:val="00722640"/>
    <w:rsid w:val="007232BB"/>
    <w:rsid w:val="00726D69"/>
    <w:rsid w:val="00730ED2"/>
    <w:rsid w:val="0073197E"/>
    <w:rsid w:val="00733E5C"/>
    <w:rsid w:val="00740277"/>
    <w:rsid w:val="00742334"/>
    <w:rsid w:val="00746080"/>
    <w:rsid w:val="00751356"/>
    <w:rsid w:val="00772B57"/>
    <w:rsid w:val="00781D04"/>
    <w:rsid w:val="00785E22"/>
    <w:rsid w:val="00792A06"/>
    <w:rsid w:val="007935EA"/>
    <w:rsid w:val="007B5DD9"/>
    <w:rsid w:val="007C2D45"/>
    <w:rsid w:val="007F048E"/>
    <w:rsid w:val="007F49EB"/>
    <w:rsid w:val="00805FDA"/>
    <w:rsid w:val="00812C1B"/>
    <w:rsid w:val="0081305D"/>
    <w:rsid w:val="00813AF0"/>
    <w:rsid w:val="00814E26"/>
    <w:rsid w:val="008167C6"/>
    <w:rsid w:val="008173B1"/>
    <w:rsid w:val="00835AD0"/>
    <w:rsid w:val="00841787"/>
    <w:rsid w:val="008475BD"/>
    <w:rsid w:val="00863FA1"/>
    <w:rsid w:val="0086540A"/>
    <w:rsid w:val="008747B3"/>
    <w:rsid w:val="008813C3"/>
    <w:rsid w:val="00885610"/>
    <w:rsid w:val="008926F0"/>
    <w:rsid w:val="008964E8"/>
    <w:rsid w:val="008A1F0F"/>
    <w:rsid w:val="008A48F6"/>
    <w:rsid w:val="008A6350"/>
    <w:rsid w:val="008E6045"/>
    <w:rsid w:val="0090113B"/>
    <w:rsid w:val="00905253"/>
    <w:rsid w:val="00911CE0"/>
    <w:rsid w:val="009142F2"/>
    <w:rsid w:val="0093258A"/>
    <w:rsid w:val="0094373C"/>
    <w:rsid w:val="00946818"/>
    <w:rsid w:val="00946DEE"/>
    <w:rsid w:val="00951E2B"/>
    <w:rsid w:val="00952320"/>
    <w:rsid w:val="00952939"/>
    <w:rsid w:val="00952DF6"/>
    <w:rsid w:val="00955156"/>
    <w:rsid w:val="00961EA0"/>
    <w:rsid w:val="00990298"/>
    <w:rsid w:val="009A31CC"/>
    <w:rsid w:val="009A5C44"/>
    <w:rsid w:val="009B03AF"/>
    <w:rsid w:val="009C4216"/>
    <w:rsid w:val="009D5F4B"/>
    <w:rsid w:val="009E626E"/>
    <w:rsid w:val="009E7CBF"/>
    <w:rsid w:val="009F3DE4"/>
    <w:rsid w:val="00A02BB4"/>
    <w:rsid w:val="00A069A1"/>
    <w:rsid w:val="00A07077"/>
    <w:rsid w:val="00A105B4"/>
    <w:rsid w:val="00A24979"/>
    <w:rsid w:val="00A25092"/>
    <w:rsid w:val="00A27941"/>
    <w:rsid w:val="00A50DD0"/>
    <w:rsid w:val="00A516B0"/>
    <w:rsid w:val="00A5620A"/>
    <w:rsid w:val="00A850AB"/>
    <w:rsid w:val="00AA06D9"/>
    <w:rsid w:val="00AA27C3"/>
    <w:rsid w:val="00AC2406"/>
    <w:rsid w:val="00AD1BD8"/>
    <w:rsid w:val="00AD3FCF"/>
    <w:rsid w:val="00AE53E3"/>
    <w:rsid w:val="00B03802"/>
    <w:rsid w:val="00B061DB"/>
    <w:rsid w:val="00B069AA"/>
    <w:rsid w:val="00B13484"/>
    <w:rsid w:val="00B23A36"/>
    <w:rsid w:val="00B25576"/>
    <w:rsid w:val="00B25EF5"/>
    <w:rsid w:val="00B26156"/>
    <w:rsid w:val="00B443FE"/>
    <w:rsid w:val="00B50EB2"/>
    <w:rsid w:val="00B57230"/>
    <w:rsid w:val="00B607C5"/>
    <w:rsid w:val="00B6722A"/>
    <w:rsid w:val="00B82D78"/>
    <w:rsid w:val="00BA434C"/>
    <w:rsid w:val="00BB0864"/>
    <w:rsid w:val="00BD4F65"/>
    <w:rsid w:val="00BF3373"/>
    <w:rsid w:val="00C06F9E"/>
    <w:rsid w:val="00C13E6B"/>
    <w:rsid w:val="00C2370B"/>
    <w:rsid w:val="00C27193"/>
    <w:rsid w:val="00C426CE"/>
    <w:rsid w:val="00C624D5"/>
    <w:rsid w:val="00C77711"/>
    <w:rsid w:val="00C848A0"/>
    <w:rsid w:val="00C859E5"/>
    <w:rsid w:val="00C85F6E"/>
    <w:rsid w:val="00C878C5"/>
    <w:rsid w:val="00C96AEA"/>
    <w:rsid w:val="00CA0569"/>
    <w:rsid w:val="00CC0B6D"/>
    <w:rsid w:val="00CC3022"/>
    <w:rsid w:val="00CD01B4"/>
    <w:rsid w:val="00CD45C1"/>
    <w:rsid w:val="00CE1CD3"/>
    <w:rsid w:val="00CE4F01"/>
    <w:rsid w:val="00CE7DAC"/>
    <w:rsid w:val="00D116A0"/>
    <w:rsid w:val="00D12E01"/>
    <w:rsid w:val="00D30F16"/>
    <w:rsid w:val="00D44EE9"/>
    <w:rsid w:val="00D45C64"/>
    <w:rsid w:val="00D55546"/>
    <w:rsid w:val="00D57E8C"/>
    <w:rsid w:val="00D6213C"/>
    <w:rsid w:val="00D647C0"/>
    <w:rsid w:val="00D7097F"/>
    <w:rsid w:val="00D77694"/>
    <w:rsid w:val="00D77B0F"/>
    <w:rsid w:val="00DB1FFC"/>
    <w:rsid w:val="00DB6B52"/>
    <w:rsid w:val="00DC6C30"/>
    <w:rsid w:val="00DD4529"/>
    <w:rsid w:val="00DE5488"/>
    <w:rsid w:val="00DE5C82"/>
    <w:rsid w:val="00DE75AC"/>
    <w:rsid w:val="00DF40A9"/>
    <w:rsid w:val="00DF5A52"/>
    <w:rsid w:val="00E00EEF"/>
    <w:rsid w:val="00E073EA"/>
    <w:rsid w:val="00E15A73"/>
    <w:rsid w:val="00E17288"/>
    <w:rsid w:val="00E17C58"/>
    <w:rsid w:val="00E231C2"/>
    <w:rsid w:val="00E30376"/>
    <w:rsid w:val="00E429DA"/>
    <w:rsid w:val="00E473E6"/>
    <w:rsid w:val="00E5235C"/>
    <w:rsid w:val="00E616AB"/>
    <w:rsid w:val="00E62C2A"/>
    <w:rsid w:val="00E638DB"/>
    <w:rsid w:val="00E76172"/>
    <w:rsid w:val="00E82D41"/>
    <w:rsid w:val="00E8586E"/>
    <w:rsid w:val="00E86F26"/>
    <w:rsid w:val="00E940A4"/>
    <w:rsid w:val="00E96A06"/>
    <w:rsid w:val="00EA0919"/>
    <w:rsid w:val="00EA15FA"/>
    <w:rsid w:val="00EA1DBB"/>
    <w:rsid w:val="00EA5759"/>
    <w:rsid w:val="00EB2E7B"/>
    <w:rsid w:val="00EB5240"/>
    <w:rsid w:val="00EC0B55"/>
    <w:rsid w:val="00EC0D96"/>
    <w:rsid w:val="00EC6B01"/>
    <w:rsid w:val="00ED7D28"/>
    <w:rsid w:val="00EE2EEB"/>
    <w:rsid w:val="00F034BF"/>
    <w:rsid w:val="00F1636E"/>
    <w:rsid w:val="00F233A3"/>
    <w:rsid w:val="00F23D7A"/>
    <w:rsid w:val="00F26D30"/>
    <w:rsid w:val="00F335A1"/>
    <w:rsid w:val="00F46C08"/>
    <w:rsid w:val="00F57152"/>
    <w:rsid w:val="00F7362C"/>
    <w:rsid w:val="00F92F61"/>
    <w:rsid w:val="00FA6D8C"/>
    <w:rsid w:val="00FB6F10"/>
    <w:rsid w:val="00FC4688"/>
    <w:rsid w:val="00FC4CF8"/>
    <w:rsid w:val="00FC5DA7"/>
    <w:rsid w:val="00FD0BA1"/>
    <w:rsid w:val="00FD7A80"/>
    <w:rsid w:val="00FE53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2B0F83EE-C67C-42A4-B3C2-EA1023BC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C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14E26"/>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7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941"/>
  </w:style>
  <w:style w:type="paragraph" w:styleId="NoSpacing">
    <w:name w:val="No Spacing"/>
    <w:uiPriority w:val="1"/>
    <w:qFormat/>
    <w:rsid w:val="00C426CE"/>
    <w:pPr>
      <w:spacing w:after="0" w:line="240" w:lineRule="auto"/>
    </w:pPr>
  </w:style>
  <w:style w:type="character" w:customStyle="1" w:styleId="Heading2Char">
    <w:name w:val="Heading 2 Char"/>
    <w:basedOn w:val="DefaultParagraphFont"/>
    <w:link w:val="Heading2"/>
    <w:uiPriority w:val="9"/>
    <w:rsid w:val="00814E26"/>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471CBA"/>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5675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75D3"/>
    <w:rPr>
      <w:sz w:val="20"/>
      <w:szCs w:val="20"/>
    </w:rPr>
  </w:style>
  <w:style w:type="character" w:styleId="FootnoteReference">
    <w:name w:val="footnote reference"/>
    <w:basedOn w:val="DefaultParagraphFont"/>
    <w:uiPriority w:val="99"/>
    <w:semiHidden/>
    <w:unhideWhenUsed/>
    <w:rsid w:val="005675D3"/>
    <w:rPr>
      <w:vertAlign w:val="superscript"/>
    </w:rPr>
  </w:style>
  <w:style w:type="paragraph" w:styleId="BodyText">
    <w:name w:val="Body Text"/>
    <w:basedOn w:val="Normal"/>
    <w:link w:val="BodyTextChar"/>
    <w:uiPriority w:val="1"/>
    <w:qFormat/>
    <w:rsid w:val="00182E97"/>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182E97"/>
    <w:rPr>
      <w:rFonts w:ascii="Arial" w:eastAsia="Arial" w:hAnsi="Arial" w:cs="Arial"/>
      <w:sz w:val="24"/>
      <w:szCs w:val="24"/>
      <w:lang w:val="en-US"/>
    </w:rPr>
  </w:style>
  <w:style w:type="character" w:styleId="Hyperlink">
    <w:name w:val="Hyperlink"/>
    <w:basedOn w:val="DefaultParagraphFont"/>
    <w:uiPriority w:val="99"/>
    <w:unhideWhenUsed/>
    <w:rsid w:val="00FC4688"/>
    <w:rPr>
      <w:color w:val="0000FF" w:themeColor="hyperlink"/>
      <w:u w:val="single"/>
    </w:rPr>
  </w:style>
  <w:style w:type="character" w:styleId="UnresolvedMention">
    <w:name w:val="Unresolved Mention"/>
    <w:basedOn w:val="DefaultParagraphFont"/>
    <w:uiPriority w:val="99"/>
    <w:semiHidden/>
    <w:unhideWhenUsed/>
    <w:rsid w:val="00FC4688"/>
    <w:rPr>
      <w:color w:val="605E5C"/>
      <w:shd w:val="clear" w:color="auto" w:fill="E1DFDD"/>
    </w:rPr>
  </w:style>
  <w:style w:type="character" w:styleId="FollowedHyperlink">
    <w:name w:val="FollowedHyperlink"/>
    <w:basedOn w:val="DefaultParagraphFont"/>
    <w:uiPriority w:val="99"/>
    <w:semiHidden/>
    <w:unhideWhenUsed/>
    <w:rsid w:val="00EC6B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245922724">
      <w:bodyDiv w:val="1"/>
      <w:marLeft w:val="0"/>
      <w:marRight w:val="0"/>
      <w:marTop w:val="0"/>
      <w:marBottom w:val="0"/>
      <w:divBdr>
        <w:top w:val="none" w:sz="0" w:space="0" w:color="auto"/>
        <w:left w:val="none" w:sz="0" w:space="0" w:color="auto"/>
        <w:bottom w:val="none" w:sz="0" w:space="0" w:color="auto"/>
        <w:right w:val="none" w:sz="0" w:space="0" w:color="auto"/>
      </w:divBdr>
      <w:divsChild>
        <w:div w:id="629089363">
          <w:marLeft w:val="0"/>
          <w:marRight w:val="0"/>
          <w:marTop w:val="0"/>
          <w:marBottom w:val="0"/>
          <w:divBdr>
            <w:top w:val="none" w:sz="0" w:space="0" w:color="auto"/>
            <w:left w:val="none" w:sz="0" w:space="0" w:color="auto"/>
            <w:bottom w:val="none" w:sz="0" w:space="0" w:color="auto"/>
            <w:right w:val="none" w:sz="0" w:space="0" w:color="auto"/>
          </w:divBdr>
        </w:div>
      </w:divsChild>
    </w:div>
    <w:div w:id="63375604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157184476">
      <w:bodyDiv w:val="1"/>
      <w:marLeft w:val="0"/>
      <w:marRight w:val="0"/>
      <w:marTop w:val="0"/>
      <w:marBottom w:val="0"/>
      <w:divBdr>
        <w:top w:val="none" w:sz="0" w:space="0" w:color="auto"/>
        <w:left w:val="none" w:sz="0" w:space="0" w:color="auto"/>
        <w:bottom w:val="none" w:sz="0" w:space="0" w:color="auto"/>
        <w:right w:val="none" w:sz="0" w:space="0" w:color="auto"/>
      </w:divBdr>
    </w:div>
    <w:div w:id="1266302168">
      <w:bodyDiv w:val="1"/>
      <w:marLeft w:val="0"/>
      <w:marRight w:val="0"/>
      <w:marTop w:val="0"/>
      <w:marBottom w:val="0"/>
      <w:divBdr>
        <w:top w:val="none" w:sz="0" w:space="0" w:color="auto"/>
        <w:left w:val="none" w:sz="0" w:space="0" w:color="auto"/>
        <w:bottom w:val="none" w:sz="0" w:space="0" w:color="auto"/>
        <w:right w:val="none" w:sz="0" w:space="0" w:color="auto"/>
      </w:divBdr>
    </w:div>
    <w:div w:id="1301308719">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571042254">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200346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eb.ca/sites/default/files/dec-rate-order-RSC-2021-inflation-adjustment-20201203.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eb.ca/sites/default/files/Order-Pole-Attachment-Charge-20201210.pdf" TargetMode="External"/><Relationship Id="rId2" Type="http://schemas.openxmlformats.org/officeDocument/2006/relationships/customXml" Target="../customXml/item2.xml"/><Relationship Id="rId16" Type="http://schemas.openxmlformats.org/officeDocument/2006/relationships/hyperlink" Target="https://www.rds.oeb.ca/CMWebDrawer/Record/697747/File/document" TargetMode="External"/><Relationship Id="rId20" Type="http://schemas.openxmlformats.org/officeDocument/2006/relationships/hyperlink" Target="https://www.oeb.ca/sites/default/files/letter-new-rpp-prices-2020121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rds.oeb.ca/CMWebDrawer/Record/697719/File/docume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eb.ca/sites/default/files/OEB-ltr-2021-inflation-updates-2020110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1BFEC4F3F085C42AE856FB37D6441FE" ma:contentTypeVersion="12" ma:contentTypeDescription="Create a new document." ma:contentTypeScope="" ma:versionID="892e8e39b30ec31af7ae5ce60acf2547">
  <xsd:schema xmlns:xsd="http://www.w3.org/2001/XMLSchema" xmlns:xs="http://www.w3.org/2001/XMLSchema" xmlns:p="http://schemas.microsoft.com/office/2006/metadata/properties" xmlns:ns3="67bd9f97-d8a4-4110-aa76-ac06fd6996e3" xmlns:ns4="4b265e71-f343-4c34-bd05-826252c51855" targetNamespace="http://schemas.microsoft.com/office/2006/metadata/properties" ma:root="true" ma:fieldsID="fa5969718c80427d0bbc5083d4e14b6d" ns3:_="" ns4:_="">
    <xsd:import namespace="67bd9f97-d8a4-4110-aa76-ac06fd6996e3"/>
    <xsd:import namespace="4b265e71-f343-4c34-bd05-826252c518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9f97-d8a4-4110-aa76-ac06fd6996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65e71-f343-4c34-bd05-826252c518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40C9A-7781-44E0-B2D1-32EC28806B52}">
  <ds:schemaRefs>
    <ds:schemaRef ds:uri="http://schemas.microsoft.com/sharepoint/v3/contenttype/forms"/>
  </ds:schemaRefs>
</ds:datastoreItem>
</file>

<file path=customXml/itemProps2.xml><?xml version="1.0" encoding="utf-8"?>
<ds:datastoreItem xmlns:ds="http://schemas.openxmlformats.org/officeDocument/2006/customXml" ds:itemID="{2DB35A15-3838-4CE4-9958-502937F963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13915E-6DC5-41AF-BC83-8EA304E29DDB}">
  <ds:schemaRefs>
    <ds:schemaRef ds:uri="http://schemas.openxmlformats.org/officeDocument/2006/bibliography"/>
  </ds:schemaRefs>
</ds:datastoreItem>
</file>

<file path=customXml/itemProps4.xml><?xml version="1.0" encoding="utf-8"?>
<ds:datastoreItem xmlns:ds="http://schemas.openxmlformats.org/officeDocument/2006/customXml" ds:itemID="{C3EEB2A5-37E1-46BD-998D-7C039B8FC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9f97-d8a4-4110-aa76-ac06fd6996e3"/>
    <ds:schemaRef ds:uri="4b265e71-f343-4c34-bd05-826252c51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2896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subject/>
  <dc:creator>OEB</dc:creator>
  <cp:keywords/>
  <dc:description/>
  <cp:lastModifiedBy>Judy But</cp:lastModifiedBy>
  <cp:revision>5</cp:revision>
  <cp:lastPrinted>2014-09-29T14:43:00Z</cp:lastPrinted>
  <dcterms:created xsi:type="dcterms:W3CDTF">2021-01-25T17:56:00Z</dcterms:created>
  <dcterms:modified xsi:type="dcterms:W3CDTF">2021-01-25T18:10:00Z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0x010100B1BFEC4F3F085C42AE856FB37D6441FE</vt:lpwstr>
  </property>
</Properties>
</file>