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1B" w:rsidRPr="000269F3" w:rsidRDefault="000269F3">
      <w:pPr>
        <w:rPr>
          <w:b/>
        </w:rPr>
      </w:pPr>
      <w:r w:rsidRPr="000269F3">
        <w:rPr>
          <w:b/>
        </w:rPr>
        <w:t>London Hydro – 2018 IRM + ACM</w:t>
      </w:r>
    </w:p>
    <w:p w:rsidR="000269F3" w:rsidRPr="000269F3" w:rsidRDefault="000269F3">
      <w:pPr>
        <w:rPr>
          <w:b/>
        </w:rPr>
      </w:pPr>
      <w:r w:rsidRPr="000269F3">
        <w:rPr>
          <w:b/>
        </w:rPr>
        <w:t>Supplementary IRs</w:t>
      </w:r>
    </w:p>
    <w:p w:rsidR="000269F3" w:rsidRPr="000269F3" w:rsidRDefault="000269F3">
      <w:pPr>
        <w:rPr>
          <w:b/>
        </w:rPr>
      </w:pPr>
      <w:r w:rsidRPr="000269F3">
        <w:rPr>
          <w:b/>
        </w:rPr>
        <w:t>2-Staff-1</w:t>
      </w:r>
      <w:r w:rsidRPr="000269F3">
        <w:rPr>
          <w:b/>
        </w:rPr>
        <w:tab/>
        <w:t>Ref: OEB Staff-5</w:t>
      </w:r>
    </w:p>
    <w:p w:rsidR="000269F3" w:rsidRDefault="000269F3">
      <w:r>
        <w:t xml:space="preserve">In this response, London Hydro “confirms” </w:t>
      </w:r>
      <w:proofErr w:type="gramStart"/>
      <w:r>
        <w:t>its</w:t>
      </w:r>
      <w:proofErr w:type="gramEnd"/>
      <w:r>
        <w:t xml:space="preserve"> approved ROE of 5.08% from its 2017 Cost of Service application (EB-2017-0091) [sic]. The response provides the following table, taken from sheet 7 of the final Revenue Requirement Work Form.</w:t>
      </w:r>
    </w:p>
    <w:p w:rsidR="000269F3" w:rsidRDefault="000269F3" w:rsidP="000269F3">
      <w:pPr>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4581525</wp:posOffset>
                </wp:positionH>
                <wp:positionV relativeFrom="paragraph">
                  <wp:posOffset>1378585</wp:posOffset>
                </wp:positionV>
                <wp:extent cx="438150" cy="9525"/>
                <wp:effectExtent l="19050" t="57150" r="0" b="85725"/>
                <wp:wrapNone/>
                <wp:docPr id="2" name="Straight Arrow Connector 2"/>
                <wp:cNvGraphicFramePr/>
                <a:graphic xmlns:a="http://schemas.openxmlformats.org/drawingml/2006/main">
                  <a:graphicData uri="http://schemas.microsoft.com/office/word/2010/wordprocessingShape">
                    <wps:wsp>
                      <wps:cNvCnPr/>
                      <wps:spPr>
                        <a:xfrm flipH="1">
                          <a:off x="0" y="0"/>
                          <a:ext cx="438150" cy="95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0544B4" id="_x0000_t32" coordsize="21600,21600" o:spt="32" o:oned="t" path="m,l21600,21600e" filled="f">
                <v:path arrowok="t" fillok="f" o:connecttype="none"/>
                <o:lock v:ext="edit" shapetype="t"/>
              </v:shapetype>
              <v:shape id="Straight Arrow Connector 2" o:spid="_x0000_s1026" type="#_x0000_t32" style="position:absolute;margin-left:360.75pt;margin-top:108.55pt;width:34.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" strokecolor="red" strokeweight="2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578CFDCD" wp14:editId="56F195AF">
                <wp:simplePos x="0" y="0"/>
                <wp:positionH relativeFrom="column">
                  <wp:posOffset>4600575</wp:posOffset>
                </wp:positionH>
                <wp:positionV relativeFrom="paragraph">
                  <wp:posOffset>1981835</wp:posOffset>
                </wp:positionV>
                <wp:extent cx="438150" cy="9525"/>
                <wp:effectExtent l="19050" t="57150" r="0" b="85725"/>
                <wp:wrapNone/>
                <wp:docPr id="3" name="Straight Arrow Connector 3"/>
                <wp:cNvGraphicFramePr/>
                <a:graphic xmlns:a="http://schemas.openxmlformats.org/drawingml/2006/main">
                  <a:graphicData uri="http://schemas.microsoft.com/office/word/2010/wordprocessingShape">
                    <wps:wsp>
                      <wps:cNvCnPr/>
                      <wps:spPr>
                        <a:xfrm flipH="1">
                          <a:off x="0" y="0"/>
                          <a:ext cx="438150" cy="95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2B088C" id="Straight Arrow Connector 3" o:spid="_x0000_s1026" type="#_x0000_t32" style="position:absolute;margin-left:362.25pt;margin-top:156.05pt;width:34.5pt;height:.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" strokecolor="red" strokeweight="2pt">
                <v:stroke endarrow="block" joinstyle="miter"/>
              </v:shape>
            </w:pict>
          </mc:Fallback>
        </mc:AlternateContent>
      </w:r>
      <w:r w:rsidRPr="000269F3">
        <w:rPr>
          <w:noProof/>
        </w:rPr>
        <w:drawing>
          <wp:inline distT="0" distB="0" distL="0" distR="0">
            <wp:extent cx="6812374" cy="22764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5570" cy="2280885"/>
                    </a:xfrm>
                    <a:prstGeom prst="rect">
                      <a:avLst/>
                    </a:prstGeom>
                    <a:noFill/>
                    <a:ln>
                      <a:noFill/>
                    </a:ln>
                  </pic:spPr>
                </pic:pic>
              </a:graphicData>
            </a:graphic>
          </wp:inline>
        </w:drawing>
      </w:r>
    </w:p>
    <w:p w:rsidR="00F84C84" w:rsidRDefault="000269F3" w:rsidP="000269F3">
      <w:r>
        <w:t>OEB staff have added arrows</w:t>
      </w:r>
      <w:r w:rsidR="00F84C84">
        <w:t xml:space="preserve"> pointing to two numbers, referring to the rates of return on common equity and to the total cost of capital. Please explain why London Hydro believes that its approved ROE is 5.08% from its 2017 rebasing application EB-2016-0091.</w:t>
      </w:r>
    </w:p>
    <w:p w:rsidR="00F84C84" w:rsidRPr="001547C3" w:rsidRDefault="00F84C84" w:rsidP="000269F3">
      <w:pPr>
        <w:rPr>
          <w:b/>
        </w:rPr>
      </w:pPr>
      <w:r w:rsidRPr="001547C3">
        <w:rPr>
          <w:b/>
        </w:rPr>
        <w:t>2-Staff-2</w:t>
      </w:r>
      <w:r w:rsidRPr="001547C3">
        <w:rPr>
          <w:b/>
        </w:rPr>
        <w:tab/>
        <w:t>Ref: OEB staff-5</w:t>
      </w:r>
    </w:p>
    <w:p w:rsidR="00F84C84" w:rsidRDefault="00F84C84" w:rsidP="000269F3">
      <w:r>
        <w:t>In this interrogatory, London Hydro was requested to explain its rationale for proposing that the ACM rate riders be fixed monthly charges for all customer classes.</w:t>
      </w:r>
    </w:p>
    <w:p w:rsidR="00F84C84" w:rsidRDefault="00F84C84" w:rsidP="00F84C84">
      <w:r>
        <w:t>London Hydro pointed to the adoption of fully fixed charges for Residential customers and the ongoing consultation on Rate Design for Commercial &amp; Industrial Customers, and submitted the following:</w:t>
      </w:r>
    </w:p>
    <w:p w:rsidR="000269F3" w:rsidRPr="001547C3" w:rsidRDefault="001547C3" w:rsidP="001547C3">
      <w:pPr>
        <w:ind w:left="720" w:right="720"/>
      </w:pPr>
      <w:r w:rsidRPr="001547C3">
        <w:rPr>
          <w:bCs/>
          <w:sz w:val="23"/>
          <w:szCs w:val="23"/>
        </w:rPr>
        <w:t xml:space="preserve">With respect to the issue raised with respect to certain commercial demand-billed classes, such as GS 50-4,999 kW and the GS &gt; 50 kW Co-generation classes exhibiting heterogeneity in the consumption and demand profiles, London Hydro would submit that overall impact between the options may be materially insignificant to individual customers bill. Under the scenario of using fixed/variable the average GS 50-4,999 kW may see a charge of $0.0347/kW which would equate to $7.88 per month. (3,814,310 kW X $0.0347/kW / 1,556 customers / 12 months) </w:t>
      </w:r>
      <w:r w:rsidR="00F84C84" w:rsidRPr="001547C3">
        <w:t xml:space="preserve">  </w:t>
      </w:r>
    </w:p>
    <w:p w:rsidR="001547C3" w:rsidRDefault="001547C3" w:rsidP="001547C3">
      <w:pPr>
        <w:ind w:right="720"/>
      </w:pPr>
      <w:r>
        <w:t>London Hydro then provided the following analysis:</w:t>
      </w:r>
    </w:p>
    <w:p w:rsidR="001547C3" w:rsidRDefault="001547C3" w:rsidP="001547C3">
      <w:pPr>
        <w:ind w:right="720"/>
      </w:pPr>
      <w:r w:rsidRPr="001547C3">
        <w:rPr>
          <w:noProof/>
        </w:rPr>
        <w:drawing>
          <wp:inline distT="0" distB="0" distL="0" distR="0">
            <wp:extent cx="5943600" cy="218375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83751"/>
                    </a:xfrm>
                    <a:prstGeom prst="rect">
                      <a:avLst/>
                    </a:prstGeom>
                    <a:noFill/>
                    <a:ln>
                      <a:noFill/>
                    </a:ln>
                  </pic:spPr>
                </pic:pic>
              </a:graphicData>
            </a:graphic>
          </wp:inline>
        </w:drawing>
      </w:r>
    </w:p>
    <w:p w:rsidR="001547C3" w:rsidRDefault="001547C3" w:rsidP="001547C3">
      <w:pPr>
        <w:ind w:right="720"/>
      </w:pPr>
      <w:r w:rsidRPr="001547C3">
        <w:rPr>
          <w:noProof/>
        </w:rPr>
        <w:drawing>
          <wp:inline distT="0" distB="0" distL="0" distR="0">
            <wp:extent cx="5943600" cy="21867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86736"/>
                    </a:xfrm>
                    <a:prstGeom prst="rect">
                      <a:avLst/>
                    </a:prstGeom>
                    <a:noFill/>
                    <a:ln>
                      <a:noFill/>
                    </a:ln>
                  </pic:spPr>
                </pic:pic>
              </a:graphicData>
            </a:graphic>
          </wp:inline>
        </w:drawing>
      </w:r>
    </w:p>
    <w:p w:rsidR="001547C3" w:rsidRDefault="001547C3" w:rsidP="001547C3">
      <w:pPr>
        <w:ind w:right="720"/>
      </w:pPr>
      <w:r w:rsidRPr="001547C3">
        <w:rPr>
          <w:noProof/>
        </w:rPr>
        <w:drawing>
          <wp:inline distT="0" distB="0" distL="0" distR="0">
            <wp:extent cx="5943600" cy="234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47690"/>
                    </a:xfrm>
                    <a:prstGeom prst="rect">
                      <a:avLst/>
                    </a:prstGeom>
                    <a:noFill/>
                    <a:ln>
                      <a:noFill/>
                    </a:ln>
                  </pic:spPr>
                </pic:pic>
              </a:graphicData>
            </a:graphic>
          </wp:inline>
        </w:drawing>
      </w:r>
    </w:p>
    <w:p w:rsidR="001547C3" w:rsidRDefault="001547C3" w:rsidP="001547C3">
      <w:pPr>
        <w:pStyle w:val="ListParagraph"/>
        <w:numPr>
          <w:ilvl w:val="0"/>
          <w:numId w:val="2"/>
        </w:numPr>
        <w:ind w:right="720"/>
      </w:pPr>
      <w:r>
        <w:t>Regardless of the choice of recovery through monthly fixed, volumetric, or a combination of fixed and volumetric riders, the total qualifying annual revenue requirement and the allocation to customer classes will be the same. Subject to rounding for the number of decimal places for each rate rider, the amount to be recovered through calculated rates will recover the same amount.</w:t>
      </w:r>
      <w:r w:rsidRPr="001547C3">
        <w:t xml:space="preserve"> </w:t>
      </w:r>
      <w:r>
        <w:t>What is the pertinence of the above tables?</w:t>
      </w:r>
    </w:p>
    <w:p w:rsidR="00420CB5" w:rsidRPr="004873DC" w:rsidRDefault="001547C3" w:rsidP="00420CB5">
      <w:pPr>
        <w:pStyle w:val="ListParagraph"/>
        <w:numPr>
          <w:ilvl w:val="0"/>
          <w:numId w:val="2"/>
        </w:numPr>
        <w:ind w:right="720"/>
      </w:pPr>
      <w:r>
        <w:t xml:space="preserve">The wording that “[the] </w:t>
      </w:r>
      <w:r w:rsidRPr="001547C3">
        <w:rPr>
          <w:bCs/>
          <w:sz w:val="23"/>
          <w:szCs w:val="23"/>
        </w:rPr>
        <w:t>overall impact between the options may be materially insignifica</w:t>
      </w:r>
      <w:r>
        <w:rPr>
          <w:bCs/>
          <w:sz w:val="23"/>
          <w:szCs w:val="23"/>
        </w:rPr>
        <w:t xml:space="preserve">nt to individual </w:t>
      </w:r>
      <w:proofErr w:type="gramStart"/>
      <w:r>
        <w:rPr>
          <w:bCs/>
          <w:sz w:val="23"/>
          <w:szCs w:val="23"/>
        </w:rPr>
        <w:t>customers[</w:t>
      </w:r>
      <w:proofErr w:type="gramEnd"/>
      <w:r>
        <w:rPr>
          <w:bCs/>
          <w:sz w:val="23"/>
          <w:szCs w:val="23"/>
        </w:rPr>
        <w:t>‘] bill[s]” suggests that London Hydro has not performed this analysis.</w:t>
      </w:r>
      <w:r>
        <w:rPr>
          <w:bCs/>
          <w:sz w:val="23"/>
          <w:szCs w:val="23"/>
        </w:rPr>
        <w:br/>
      </w:r>
      <w:r>
        <w:rPr>
          <w:bCs/>
          <w:sz w:val="23"/>
          <w:szCs w:val="23"/>
        </w:rPr>
        <w:br/>
      </w:r>
      <w:r w:rsidR="00420CB5">
        <w:rPr>
          <w:bCs/>
          <w:sz w:val="23"/>
          <w:szCs w:val="23"/>
        </w:rPr>
        <w:t xml:space="preserve">London Hydro’s ACM is based on three qualifying projects reviewed in the EB-2016-0091 proceeding, with the </w:t>
      </w:r>
      <w:r w:rsidR="004873DC">
        <w:rPr>
          <w:bCs/>
          <w:sz w:val="23"/>
          <w:szCs w:val="23"/>
        </w:rPr>
        <w:t>following amounts as shown on sheet 10b of the revised ACM model dated 20171231:</w:t>
      </w:r>
    </w:p>
    <w:tbl>
      <w:tblPr>
        <w:tblStyle w:val="TableGrid"/>
        <w:tblW w:w="0" w:type="auto"/>
        <w:tblLook w:val="04A0" w:firstRow="1" w:lastRow="0" w:firstColumn="1" w:lastColumn="0" w:noHBand="0" w:noVBand="1"/>
      </w:tblPr>
      <w:tblGrid>
        <w:gridCol w:w="4675"/>
        <w:gridCol w:w="2880"/>
      </w:tblGrid>
      <w:tr w:rsidR="004873DC" w:rsidTr="00634D31">
        <w:tc>
          <w:tcPr>
            <w:tcW w:w="4675" w:type="dxa"/>
          </w:tcPr>
          <w:p w:rsidR="004873DC" w:rsidRDefault="004873DC" w:rsidP="004873DC">
            <w:pPr>
              <w:ind w:right="720"/>
            </w:pPr>
            <w:r>
              <w:t>Project</w:t>
            </w:r>
          </w:p>
        </w:tc>
        <w:tc>
          <w:tcPr>
            <w:tcW w:w="2880" w:type="dxa"/>
          </w:tcPr>
          <w:p w:rsidR="004873DC" w:rsidRDefault="004873DC" w:rsidP="004873DC">
            <w:pPr>
              <w:ind w:right="720"/>
            </w:pPr>
            <w:r>
              <w:t>Capital Cost</w:t>
            </w:r>
          </w:p>
        </w:tc>
      </w:tr>
      <w:tr w:rsidR="004873DC" w:rsidTr="00634D31">
        <w:tc>
          <w:tcPr>
            <w:tcW w:w="4675" w:type="dxa"/>
          </w:tcPr>
          <w:p w:rsidR="004873DC" w:rsidRDefault="00634D31" w:rsidP="00634D31">
            <w:r>
              <w:rPr>
                <w:rFonts w:ascii="Calibri" w:hAnsi="Calibri" w:cs="Calibri"/>
                <w:b/>
                <w:bCs/>
                <w:color w:val="000000"/>
              </w:rPr>
              <w:t>Nelson TS Capital Contribution</w:t>
            </w:r>
          </w:p>
        </w:tc>
        <w:tc>
          <w:tcPr>
            <w:tcW w:w="2880" w:type="dxa"/>
          </w:tcPr>
          <w:p w:rsidR="004873DC" w:rsidRDefault="00634D31" w:rsidP="00634D31">
            <w:r>
              <w:rPr>
                <w:rFonts w:ascii="Calibri" w:hAnsi="Calibri" w:cs="Calibri"/>
                <w:b/>
                <w:bCs/>
                <w:color w:val="000000"/>
              </w:rPr>
              <w:t xml:space="preserve">$                       7,165,590 </w:t>
            </w:r>
          </w:p>
        </w:tc>
      </w:tr>
      <w:tr w:rsidR="004873DC" w:rsidTr="00634D31">
        <w:tc>
          <w:tcPr>
            <w:tcW w:w="4675" w:type="dxa"/>
          </w:tcPr>
          <w:p w:rsidR="004873DC" w:rsidRDefault="00634D31" w:rsidP="00634D31">
            <w:r>
              <w:rPr>
                <w:rFonts w:ascii="Calibri" w:hAnsi="Calibri" w:cs="Calibri"/>
                <w:b/>
                <w:bCs/>
                <w:color w:val="000000"/>
              </w:rPr>
              <w:t>JD Edwards</w:t>
            </w:r>
          </w:p>
        </w:tc>
        <w:tc>
          <w:tcPr>
            <w:tcW w:w="2880" w:type="dxa"/>
          </w:tcPr>
          <w:p w:rsidR="004873DC" w:rsidRDefault="00634D31" w:rsidP="00634D31">
            <w:r>
              <w:rPr>
                <w:rFonts w:ascii="Calibri" w:hAnsi="Calibri" w:cs="Calibri"/>
                <w:b/>
                <w:bCs/>
                <w:color w:val="000000"/>
              </w:rPr>
              <w:t>$                       2,000,000</w:t>
            </w:r>
          </w:p>
        </w:tc>
      </w:tr>
      <w:tr w:rsidR="004873DC" w:rsidTr="00634D31">
        <w:tc>
          <w:tcPr>
            <w:tcW w:w="4675" w:type="dxa"/>
          </w:tcPr>
          <w:p w:rsidR="004873DC" w:rsidRDefault="00634D31" w:rsidP="00634D31">
            <w:r>
              <w:rPr>
                <w:rFonts w:ascii="Calibri" w:hAnsi="Calibri" w:cs="Calibri"/>
                <w:b/>
                <w:bCs/>
                <w:color w:val="000000"/>
              </w:rPr>
              <w:t>HONI CCRA True-up's Talbot and Buchanan</w:t>
            </w:r>
          </w:p>
        </w:tc>
        <w:tc>
          <w:tcPr>
            <w:tcW w:w="2880" w:type="dxa"/>
          </w:tcPr>
          <w:p w:rsidR="004873DC" w:rsidRDefault="00634D31" w:rsidP="00634D31">
            <w:r>
              <w:rPr>
                <w:rFonts w:ascii="Calibri" w:hAnsi="Calibri" w:cs="Calibri"/>
                <w:b/>
                <w:bCs/>
                <w:color w:val="000000"/>
              </w:rPr>
              <w:t>$                           500,000</w:t>
            </w:r>
          </w:p>
        </w:tc>
      </w:tr>
    </w:tbl>
    <w:p w:rsidR="004873DC" w:rsidRDefault="004873DC" w:rsidP="004873DC">
      <w:pPr>
        <w:ind w:right="720"/>
      </w:pPr>
    </w:p>
    <w:p w:rsidR="001547C3" w:rsidRDefault="00D927D9" w:rsidP="001547C3">
      <w:pPr>
        <w:ind w:left="720" w:right="720"/>
      </w:pPr>
      <w:r>
        <w:t xml:space="preserve">Given the nature of the projects, particularly the Nelson TS Capital Contribution and the CCRA True-up for Talbot and Buchanan </w:t>
      </w:r>
      <w:proofErr w:type="spellStart"/>
      <w:r>
        <w:t>TSes</w:t>
      </w:r>
      <w:proofErr w:type="spellEnd"/>
      <w:r>
        <w:t>, please provide London Hydro’s views with respect to cost causality as to whether costs should be borne through fixed only, variable only, or a combination of fixed and variable charges within a customer class, excluding the Residential class where charges are solely recovered through fixed charges.</w:t>
      </w:r>
    </w:p>
    <w:p w:rsidR="00D927D9" w:rsidRDefault="0089381F" w:rsidP="00D927D9">
      <w:pPr>
        <w:pStyle w:val="ListParagraph"/>
        <w:numPr>
          <w:ilvl w:val="0"/>
          <w:numId w:val="2"/>
        </w:numPr>
        <w:ind w:right="720"/>
      </w:pPr>
      <w:r>
        <w:t>While London Hydro did not examine the rate recovery options in detail in the response to Staff IR-5</w:t>
      </w:r>
      <w:r w:rsidR="0008315D">
        <w:t>, the details are provided in the Excel spreadsheet “ACM by Rate Type” filed along with the interrogatories. OEB staff have prepared the following summary based on that spreadsheet:</w:t>
      </w:r>
    </w:p>
    <w:p w:rsidR="0008315D" w:rsidRDefault="0008315D" w:rsidP="0008315D">
      <w:pPr>
        <w:ind w:left="-720" w:right="720"/>
      </w:pPr>
      <w:r w:rsidRPr="0008315D">
        <w:rPr>
          <w:noProof/>
        </w:rPr>
        <w:drawing>
          <wp:inline distT="0" distB="0" distL="0" distR="0">
            <wp:extent cx="6858000" cy="1931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3920" cy="1952736"/>
                    </a:xfrm>
                    <a:prstGeom prst="rect">
                      <a:avLst/>
                    </a:prstGeom>
                    <a:noFill/>
                    <a:ln>
                      <a:noFill/>
                    </a:ln>
                  </pic:spPr>
                </pic:pic>
              </a:graphicData>
            </a:graphic>
          </wp:inline>
        </w:drawing>
      </w:r>
    </w:p>
    <w:p w:rsidR="0008315D" w:rsidRDefault="00B82478" w:rsidP="0008315D">
      <w:pPr>
        <w:pStyle w:val="ListParagraph"/>
        <w:numPr>
          <w:ilvl w:val="0"/>
          <w:numId w:val="3"/>
        </w:numPr>
        <w:ind w:right="720"/>
      </w:pPr>
      <w:r>
        <w:t>Please confirm o</w:t>
      </w:r>
      <w:r w:rsidR="0008315D">
        <w:t>f correct this table.</w:t>
      </w:r>
    </w:p>
    <w:p w:rsidR="0008315D" w:rsidRDefault="0008315D" w:rsidP="0008315D">
      <w:pPr>
        <w:pStyle w:val="ListParagraph"/>
        <w:numPr>
          <w:ilvl w:val="0"/>
          <w:numId w:val="3"/>
        </w:numPr>
        <w:ind w:right="720"/>
      </w:pPr>
      <w:r>
        <w:t>Based on these rate riders, OEB staff estimates the following bill impacts for GS &lt; 50 kW</w:t>
      </w:r>
      <w:r w:rsidR="00036E97">
        <w:t xml:space="preserve"> and GS 50-4,999</w:t>
      </w:r>
      <w:r>
        <w:t xml:space="preserve"> customers</w:t>
      </w:r>
      <w:r w:rsidR="00036E97">
        <w:t>:</w:t>
      </w:r>
    </w:p>
    <w:p w:rsidR="00036E97" w:rsidRDefault="00036E97" w:rsidP="00AF72F2">
      <w:pPr>
        <w:ind w:left="1440" w:right="720"/>
      </w:pPr>
      <w:r w:rsidRPr="00036E97">
        <w:rPr>
          <w:noProof/>
        </w:rPr>
        <w:drawing>
          <wp:inline distT="0" distB="0" distL="0" distR="0">
            <wp:extent cx="5448300" cy="2676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2676525"/>
                    </a:xfrm>
                    <a:prstGeom prst="rect">
                      <a:avLst/>
                    </a:prstGeom>
                    <a:noFill/>
                    <a:ln>
                      <a:noFill/>
                    </a:ln>
                  </pic:spPr>
                </pic:pic>
              </a:graphicData>
            </a:graphic>
          </wp:inline>
        </w:drawing>
      </w:r>
      <w:r>
        <w:br/>
        <w:t xml:space="preserve">OEB staff have not addressed other classes, as the small number of customers or the small dollars or rates involved, or greater homogeneity with classes such as USL or </w:t>
      </w:r>
      <w:proofErr w:type="spellStart"/>
      <w:r>
        <w:t>streetlighting</w:t>
      </w:r>
      <w:proofErr w:type="spellEnd"/>
      <w:r>
        <w:t xml:space="preserve"> make the bill impacts less of a concern.</w:t>
      </w:r>
    </w:p>
    <w:p w:rsidR="00036E97" w:rsidRDefault="00036E97" w:rsidP="00AF72F2">
      <w:pPr>
        <w:ind w:left="1440" w:right="720"/>
      </w:pPr>
      <w:r>
        <w:t>However, for the GS &lt; 50 kW and GS 50-4,999 kW classes, individually, please provide London Hydro’s views on whether the monthly bill impacts for customers with different consumption or demand profiles would be “materially insignificant to individual customers[‘] bill[s]”.</w:t>
      </w:r>
    </w:p>
    <w:p w:rsidR="00036E97" w:rsidRDefault="00036E97" w:rsidP="00036E97">
      <w:pPr>
        <w:pStyle w:val="ListParagraph"/>
        <w:numPr>
          <w:ilvl w:val="0"/>
          <w:numId w:val="3"/>
        </w:numPr>
        <w:ind w:right="720"/>
      </w:pPr>
      <w:r>
        <w:t>Please provide London Hydro’s views on the appropriateness and practicality (with respect to London Hydro’s billing system) of a scenario whereby the ACM rate rider is recovered through fixed and variable rate riders for GS &lt; 50 kW and GS 50-4999 kW customer classes, and through monthly fixed rate riders for all other customer classes.</w:t>
      </w:r>
    </w:p>
    <w:p w:rsidR="0008315D" w:rsidRDefault="0008315D" w:rsidP="0008315D">
      <w:pPr>
        <w:ind w:left="-720" w:right="720"/>
      </w:pPr>
    </w:p>
    <w:sectPr w:rsidR="00083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F7D"/>
    <w:multiLevelType w:val="hybridMultilevel"/>
    <w:tmpl w:val="83A822CA"/>
    <w:lvl w:ilvl="0" w:tplc="33BAD3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56B57"/>
    <w:multiLevelType w:val="hybridMultilevel"/>
    <w:tmpl w:val="1430F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752EC"/>
    <w:multiLevelType w:val="hybridMultilevel"/>
    <w:tmpl w:val="C4BAA5C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F3"/>
    <w:rsid w:val="000269F3"/>
    <w:rsid w:val="00036E97"/>
    <w:rsid w:val="0008315D"/>
    <w:rsid w:val="001547C3"/>
    <w:rsid w:val="00420CB5"/>
    <w:rsid w:val="004873DC"/>
    <w:rsid w:val="00634D31"/>
    <w:rsid w:val="0089381F"/>
    <w:rsid w:val="00AF72F2"/>
    <w:rsid w:val="00B82478"/>
    <w:rsid w:val="00D927D9"/>
    <w:rsid w:val="00F30A1B"/>
    <w:rsid w:val="00F8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C27B"/>
  <w15:chartTrackingRefBased/>
  <w15:docId w15:val="{CFE74C3C-F721-4B70-B665-A0DA6D0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C84"/>
    <w:pPr>
      <w:ind w:left="720"/>
      <w:contextualSpacing/>
    </w:pPr>
  </w:style>
  <w:style w:type="table" w:styleId="TableGrid">
    <w:name w:val="Table Grid"/>
    <w:basedOn w:val="TableNormal"/>
    <w:uiPriority w:val="39"/>
    <w:rsid w:val="0048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4442">
      <w:bodyDiv w:val="1"/>
      <w:marLeft w:val="0"/>
      <w:marRight w:val="0"/>
      <w:marTop w:val="0"/>
      <w:marBottom w:val="0"/>
      <w:divBdr>
        <w:top w:val="none" w:sz="0" w:space="0" w:color="auto"/>
        <w:left w:val="none" w:sz="0" w:space="0" w:color="auto"/>
        <w:bottom w:val="none" w:sz="0" w:space="0" w:color="auto"/>
        <w:right w:val="none" w:sz="0" w:space="0" w:color="auto"/>
      </w:divBdr>
    </w:div>
    <w:div w:id="342318990">
      <w:bodyDiv w:val="1"/>
      <w:marLeft w:val="0"/>
      <w:marRight w:val="0"/>
      <w:marTop w:val="0"/>
      <w:marBottom w:val="0"/>
      <w:divBdr>
        <w:top w:val="none" w:sz="0" w:space="0" w:color="auto"/>
        <w:left w:val="none" w:sz="0" w:space="0" w:color="auto"/>
        <w:bottom w:val="none" w:sz="0" w:space="0" w:color="auto"/>
        <w:right w:val="none" w:sz="0" w:space="0" w:color="auto"/>
      </w:divBdr>
    </w:div>
    <w:div w:id="377510002">
      <w:bodyDiv w:val="1"/>
      <w:marLeft w:val="0"/>
      <w:marRight w:val="0"/>
      <w:marTop w:val="0"/>
      <w:marBottom w:val="0"/>
      <w:divBdr>
        <w:top w:val="none" w:sz="0" w:space="0" w:color="auto"/>
        <w:left w:val="none" w:sz="0" w:space="0" w:color="auto"/>
        <w:bottom w:val="none" w:sz="0" w:space="0" w:color="auto"/>
        <w:right w:val="none" w:sz="0" w:space="0" w:color="auto"/>
      </w:divBdr>
    </w:div>
    <w:div w:id="907568612">
      <w:bodyDiv w:val="1"/>
      <w:marLeft w:val="0"/>
      <w:marRight w:val="0"/>
      <w:marTop w:val="0"/>
      <w:marBottom w:val="0"/>
      <w:divBdr>
        <w:top w:val="none" w:sz="0" w:space="0" w:color="auto"/>
        <w:left w:val="none" w:sz="0" w:space="0" w:color="auto"/>
        <w:bottom w:val="none" w:sz="0" w:space="0" w:color="auto"/>
        <w:right w:val="none" w:sz="0" w:space="0" w:color="auto"/>
      </w:divBdr>
    </w:div>
    <w:div w:id="1132136229">
      <w:bodyDiv w:val="1"/>
      <w:marLeft w:val="0"/>
      <w:marRight w:val="0"/>
      <w:marTop w:val="0"/>
      <w:marBottom w:val="0"/>
      <w:divBdr>
        <w:top w:val="none" w:sz="0" w:space="0" w:color="auto"/>
        <w:left w:val="none" w:sz="0" w:space="0" w:color="auto"/>
        <w:bottom w:val="none" w:sz="0" w:space="0" w:color="auto"/>
        <w:right w:val="none" w:sz="0" w:space="0" w:color="auto"/>
      </w:divBdr>
    </w:div>
    <w:div w:id="1822653408">
      <w:bodyDiv w:val="1"/>
      <w:marLeft w:val="0"/>
      <w:marRight w:val="0"/>
      <w:marTop w:val="0"/>
      <w:marBottom w:val="0"/>
      <w:divBdr>
        <w:top w:val="none" w:sz="0" w:space="0" w:color="auto"/>
        <w:left w:val="none" w:sz="0" w:space="0" w:color="auto"/>
        <w:bottom w:val="none" w:sz="0" w:space="0" w:color="auto"/>
        <w:right w:val="none" w:sz="0" w:space="0" w:color="auto"/>
      </w:divBdr>
    </w:div>
    <w:div w:id="20322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Ritchie</dc:creator>
  <cp:keywords/>
  <dc:description/>
  <cp:lastModifiedBy>Kelli Benincasa</cp:lastModifiedBy>
  <cp:revision>2</cp:revision>
  <dcterms:created xsi:type="dcterms:W3CDTF">2018-02-07T17:48:00Z</dcterms:created>
  <dcterms:modified xsi:type="dcterms:W3CDTF">2018-02-07T17:48:00Z</dcterms:modified>
</cp:coreProperties>
</file>