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6444EF" w:rsidRDefault="009E3579" w:rsidP="009E3579">
      <w:pPr>
        <w:pStyle w:val="Default"/>
        <w:ind w:left="7200"/>
        <w:rPr>
          <w:rFonts w:ascii="Arial" w:hAnsi="Arial" w:cs="Arial"/>
          <w:sz w:val="22"/>
          <w:szCs w:val="22"/>
        </w:rPr>
      </w:pPr>
      <w:r>
        <w:rPr>
          <w:rFonts w:ascii="Arial" w:hAnsi="Arial" w:cs="Arial"/>
          <w:sz w:val="22"/>
          <w:szCs w:val="22"/>
        </w:rPr>
        <w:t xml:space="preserve">     </w:t>
      </w:r>
      <w:r w:rsidR="006444EF" w:rsidRPr="006444EF">
        <w:rPr>
          <w:rFonts w:ascii="Arial" w:hAnsi="Arial" w:cs="Arial"/>
          <w:bCs/>
          <w:sz w:val="22"/>
          <w:szCs w:val="22"/>
        </w:rPr>
        <w:t>London Hydro Inc.</w:t>
      </w:r>
    </w:p>
    <w:p w:rsidR="00A07077" w:rsidRPr="006444EF" w:rsidRDefault="008A48F6" w:rsidP="00A07077">
      <w:pPr>
        <w:pStyle w:val="Default"/>
        <w:jc w:val="right"/>
        <w:rPr>
          <w:rFonts w:ascii="Arial" w:hAnsi="Arial" w:cs="Arial"/>
          <w:sz w:val="22"/>
          <w:szCs w:val="22"/>
        </w:rPr>
      </w:pPr>
      <w:r w:rsidRPr="006444EF">
        <w:rPr>
          <w:rFonts w:ascii="Arial" w:hAnsi="Arial" w:cs="Arial"/>
          <w:sz w:val="22"/>
          <w:szCs w:val="22"/>
        </w:rPr>
        <w:t>OEB</w:t>
      </w:r>
      <w:r w:rsidR="00A07077" w:rsidRPr="006444EF">
        <w:rPr>
          <w:rFonts w:ascii="Arial" w:hAnsi="Arial" w:cs="Arial"/>
          <w:sz w:val="22"/>
          <w:szCs w:val="22"/>
        </w:rPr>
        <w:t xml:space="preserve"> Staff </w:t>
      </w:r>
      <w:r w:rsidR="009E3579">
        <w:rPr>
          <w:rFonts w:ascii="Arial" w:hAnsi="Arial" w:cs="Arial"/>
          <w:sz w:val="22"/>
          <w:szCs w:val="22"/>
        </w:rPr>
        <w:t xml:space="preserve">Questions </w:t>
      </w:r>
    </w:p>
    <w:p w:rsidR="00A07077" w:rsidRPr="006444EF" w:rsidRDefault="00090160" w:rsidP="00B069AA">
      <w:pPr>
        <w:pStyle w:val="Default"/>
        <w:jc w:val="right"/>
        <w:rPr>
          <w:rFonts w:ascii="Arial" w:hAnsi="Arial" w:cs="Arial"/>
          <w:sz w:val="22"/>
          <w:szCs w:val="22"/>
        </w:rPr>
      </w:pPr>
      <w:r w:rsidRPr="006444EF">
        <w:rPr>
          <w:rFonts w:ascii="Arial" w:hAnsi="Arial" w:cs="Arial"/>
          <w:sz w:val="22"/>
          <w:szCs w:val="22"/>
        </w:rPr>
        <w:t>EB-201</w:t>
      </w:r>
      <w:r w:rsidR="00183CC8" w:rsidRPr="006444EF">
        <w:rPr>
          <w:rFonts w:ascii="Arial" w:hAnsi="Arial" w:cs="Arial"/>
          <w:sz w:val="22"/>
          <w:szCs w:val="22"/>
        </w:rPr>
        <w:t>7</w:t>
      </w:r>
      <w:r w:rsidR="006444EF" w:rsidRPr="006444EF">
        <w:rPr>
          <w:rFonts w:ascii="Arial" w:hAnsi="Arial" w:cs="Arial"/>
          <w:sz w:val="22"/>
          <w:szCs w:val="22"/>
        </w:rPr>
        <w:t>-0059</w:t>
      </w:r>
    </w:p>
    <w:p w:rsidR="00A07077" w:rsidRPr="006444EF" w:rsidRDefault="00A07077" w:rsidP="00A07077">
      <w:pPr>
        <w:pStyle w:val="Default"/>
        <w:rPr>
          <w:rFonts w:ascii="Arial" w:hAnsi="Arial" w:cs="Arial"/>
          <w:sz w:val="22"/>
          <w:szCs w:val="22"/>
        </w:rPr>
      </w:pPr>
    </w:p>
    <w:p w:rsidR="00A07077" w:rsidRPr="006444EF" w:rsidRDefault="006444EF" w:rsidP="00A07077">
      <w:pPr>
        <w:pStyle w:val="Default"/>
        <w:jc w:val="center"/>
        <w:rPr>
          <w:rFonts w:ascii="Arial" w:hAnsi="Arial" w:cs="Arial"/>
          <w:sz w:val="28"/>
          <w:szCs w:val="28"/>
        </w:rPr>
      </w:pPr>
      <w:r w:rsidRPr="006444EF">
        <w:rPr>
          <w:rFonts w:ascii="Arial" w:hAnsi="Arial" w:cs="Arial"/>
          <w:b/>
          <w:bCs/>
          <w:sz w:val="28"/>
          <w:szCs w:val="28"/>
        </w:rPr>
        <w:t>London Hydro Inc.</w:t>
      </w:r>
    </w:p>
    <w:p w:rsidR="00A07077" w:rsidRDefault="00090160" w:rsidP="00A07077">
      <w:pPr>
        <w:pStyle w:val="Default"/>
        <w:jc w:val="center"/>
        <w:rPr>
          <w:rFonts w:ascii="Arial" w:hAnsi="Arial" w:cs="Arial"/>
          <w:b/>
          <w:bCs/>
          <w:sz w:val="28"/>
          <w:szCs w:val="28"/>
        </w:rPr>
      </w:pPr>
      <w:r w:rsidRPr="006444EF">
        <w:rPr>
          <w:rFonts w:ascii="Arial" w:hAnsi="Arial" w:cs="Arial"/>
          <w:b/>
          <w:bCs/>
          <w:sz w:val="28"/>
          <w:szCs w:val="28"/>
        </w:rPr>
        <w:t>EB-201</w:t>
      </w:r>
      <w:r w:rsidR="00183CC8" w:rsidRPr="006444EF">
        <w:rPr>
          <w:rFonts w:ascii="Arial" w:hAnsi="Arial" w:cs="Arial"/>
          <w:b/>
          <w:bCs/>
          <w:sz w:val="28"/>
          <w:szCs w:val="28"/>
        </w:rPr>
        <w:t>7</w:t>
      </w:r>
      <w:r w:rsidR="00B069AA" w:rsidRPr="006444EF">
        <w:rPr>
          <w:rFonts w:ascii="Arial" w:hAnsi="Arial" w:cs="Arial"/>
          <w:b/>
          <w:bCs/>
          <w:sz w:val="28"/>
          <w:szCs w:val="28"/>
        </w:rPr>
        <w:t>-0</w:t>
      </w:r>
      <w:r w:rsidR="006444EF" w:rsidRPr="006444EF">
        <w:rPr>
          <w:rFonts w:ascii="Arial" w:hAnsi="Arial" w:cs="Arial"/>
          <w:b/>
          <w:bCs/>
          <w:sz w:val="28"/>
          <w:szCs w:val="28"/>
        </w:rPr>
        <w:t>0059</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252FAB" w:rsidRPr="00252FAB" w:rsidRDefault="00E45650" w:rsidP="00252FAB">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252FAB" w:rsidRPr="00252FAB" w:rsidRDefault="00252FAB" w:rsidP="00252FAB">
      <w:pPr>
        <w:rPr>
          <w:rFonts w:ascii="Arial" w:hAnsi="Arial" w:cs="Arial"/>
          <w:b/>
          <w:sz w:val="24"/>
          <w:szCs w:val="24"/>
        </w:rPr>
      </w:pPr>
      <w:r w:rsidRPr="00252FAB">
        <w:rPr>
          <w:rFonts w:ascii="Arial" w:hAnsi="Arial" w:cs="Arial"/>
          <w:b/>
          <w:sz w:val="24"/>
          <w:szCs w:val="24"/>
        </w:rPr>
        <w:t>Ref:</w:t>
      </w:r>
      <w:r w:rsidRPr="00252FAB">
        <w:rPr>
          <w:rFonts w:ascii="Arial" w:hAnsi="Arial" w:cs="Arial"/>
          <w:b/>
          <w:sz w:val="24"/>
          <w:szCs w:val="24"/>
        </w:rPr>
        <w:tab/>
        <w:t>Application, page 30 of 43</w:t>
      </w:r>
    </w:p>
    <w:p w:rsidR="00252FAB" w:rsidRPr="00252FAB" w:rsidRDefault="00252FAB" w:rsidP="00252FAB">
      <w:pPr>
        <w:ind w:firstLine="720"/>
        <w:rPr>
          <w:rFonts w:ascii="Arial" w:hAnsi="Arial" w:cs="Arial"/>
          <w:b/>
          <w:sz w:val="24"/>
          <w:szCs w:val="24"/>
        </w:rPr>
      </w:pPr>
      <w:r w:rsidRPr="00252FAB">
        <w:rPr>
          <w:rFonts w:ascii="Arial" w:hAnsi="Arial" w:cs="Arial"/>
          <w:b/>
          <w:sz w:val="24"/>
          <w:szCs w:val="24"/>
        </w:rPr>
        <w:t>Tab 1 of LRAMVA Work Form</w:t>
      </w:r>
    </w:p>
    <w:p w:rsidR="00252FAB" w:rsidRPr="00252FAB" w:rsidRDefault="00252FAB" w:rsidP="00252FAB">
      <w:pPr>
        <w:rPr>
          <w:rFonts w:ascii="Arial" w:hAnsi="Arial" w:cs="Arial"/>
          <w:sz w:val="24"/>
          <w:szCs w:val="24"/>
        </w:rPr>
      </w:pPr>
      <w:r w:rsidRPr="00252FAB">
        <w:rPr>
          <w:rFonts w:ascii="Arial" w:hAnsi="Arial" w:cs="Arial"/>
          <w:sz w:val="24"/>
          <w:szCs w:val="24"/>
        </w:rPr>
        <w:t>London Hydro is requesting approval of a debit balance of $763,199 in lost revenues associated with new CDM program savings in 2016, persisting savings from 2011 to 2015 in 2016, and carrying charges claimed up to April 30, 2018.  An LRAMVA threshold of 45,191,286 kWh approved in the 2013 COS is compared against actual 2016 savings.</w:t>
      </w:r>
    </w:p>
    <w:p w:rsidR="00252FAB" w:rsidRPr="00252FAB" w:rsidRDefault="00252FAB" w:rsidP="00252FAB">
      <w:pPr>
        <w:rPr>
          <w:rFonts w:ascii="Arial" w:hAnsi="Arial" w:cs="Arial"/>
          <w:sz w:val="24"/>
          <w:szCs w:val="24"/>
        </w:rPr>
      </w:pPr>
      <w:r w:rsidRPr="00252FAB">
        <w:rPr>
          <w:rFonts w:ascii="Arial" w:hAnsi="Arial" w:cs="Arial"/>
          <w:sz w:val="24"/>
          <w:szCs w:val="24"/>
        </w:rPr>
        <w:t>As noted in the application, the LRAMVA includes 2015 adjustments that were not claimed in the 2017 COS application.  The lost revenues for 2015 programs, which were made available by the IESO in 2016, are proposed to be recovered with this application along with the lost revenues from 2016 programs.</w:t>
      </w:r>
    </w:p>
    <w:p w:rsidR="00252FAB" w:rsidRPr="00252FAB" w:rsidRDefault="00252FAB" w:rsidP="00252FAB">
      <w:pPr>
        <w:pStyle w:val="CommentText"/>
        <w:numPr>
          <w:ilvl w:val="0"/>
          <w:numId w:val="29"/>
        </w:numPr>
        <w:spacing w:after="160"/>
        <w:rPr>
          <w:rFonts w:ascii="Arial" w:hAnsi="Arial" w:cs="Arial"/>
          <w:sz w:val="24"/>
          <w:szCs w:val="24"/>
        </w:rPr>
      </w:pPr>
      <w:r w:rsidRPr="00252FAB">
        <w:rPr>
          <w:rFonts w:ascii="Arial" w:hAnsi="Arial" w:cs="Arial"/>
          <w:sz w:val="24"/>
          <w:szCs w:val="24"/>
        </w:rPr>
        <w:t>Please confirm whether London Hydro is proposing to claim $27,546 (sum of cells R64 to R67 of Table 1-b of Tab 1) related to 2015 adjustments to 2015 programs that were not included in London Hydro’s last LRAMVA disposition (EB-2016-0091).</w:t>
      </w:r>
      <w:r w:rsidRPr="00252FAB" w:rsidDel="002079FD">
        <w:rPr>
          <w:rFonts w:ascii="Arial" w:hAnsi="Arial" w:cs="Arial"/>
          <w:sz w:val="24"/>
          <w:szCs w:val="24"/>
        </w:rPr>
        <w:t xml:space="preserve"> </w:t>
      </w:r>
      <w:r w:rsidRPr="00252FAB">
        <w:rPr>
          <w:rFonts w:ascii="Arial" w:hAnsi="Arial" w:cs="Arial"/>
          <w:sz w:val="24"/>
          <w:szCs w:val="24"/>
        </w:rPr>
        <w:t xml:space="preserve"> If not, please confirm the dollar amount of the 2015 adjustment (proposed to be claimed at 2015 rates).</w:t>
      </w:r>
    </w:p>
    <w:p w:rsidR="00252FAB" w:rsidRPr="00252FAB" w:rsidRDefault="00252FAB" w:rsidP="00252FAB">
      <w:pPr>
        <w:pStyle w:val="CommentText"/>
        <w:numPr>
          <w:ilvl w:val="0"/>
          <w:numId w:val="29"/>
        </w:numPr>
        <w:spacing w:after="160"/>
        <w:rPr>
          <w:rFonts w:ascii="Arial" w:hAnsi="Arial" w:cs="Arial"/>
          <w:sz w:val="24"/>
          <w:szCs w:val="24"/>
        </w:rPr>
      </w:pPr>
      <w:r w:rsidRPr="00252FAB">
        <w:rPr>
          <w:rFonts w:ascii="Arial" w:hAnsi="Arial" w:cs="Arial"/>
          <w:sz w:val="24"/>
          <w:szCs w:val="24"/>
        </w:rPr>
        <w:t xml:space="preserve">As noted in the Chapter 3 Filing Guidelines, adjustments to final approved amounts related to a previous LRAMVA disposition cannot be made.  </w:t>
      </w:r>
    </w:p>
    <w:p w:rsidR="00252FAB" w:rsidRPr="00252FAB" w:rsidRDefault="00252FAB" w:rsidP="00252FAB">
      <w:pPr>
        <w:pStyle w:val="CommentText"/>
        <w:numPr>
          <w:ilvl w:val="1"/>
          <w:numId w:val="30"/>
        </w:numPr>
        <w:spacing w:after="160"/>
        <w:rPr>
          <w:rFonts w:ascii="Arial" w:hAnsi="Arial" w:cs="Arial"/>
          <w:sz w:val="24"/>
          <w:szCs w:val="24"/>
        </w:rPr>
      </w:pPr>
      <w:r w:rsidRPr="00252FAB">
        <w:rPr>
          <w:rFonts w:ascii="Arial" w:hAnsi="Arial" w:cs="Arial"/>
          <w:sz w:val="24"/>
          <w:szCs w:val="24"/>
        </w:rPr>
        <w:t xml:space="preserve">Please confirm the rationale for claiming adjustments to 2015 savings at 2015 rates, as London Hydro has previously been approved lost revenues related to 2015 savings in EB-2016-0091. </w:t>
      </w:r>
    </w:p>
    <w:p w:rsidR="00252FAB" w:rsidRPr="00252FAB" w:rsidRDefault="00252FAB" w:rsidP="00252FAB">
      <w:pPr>
        <w:pStyle w:val="CommentText"/>
        <w:numPr>
          <w:ilvl w:val="1"/>
          <w:numId w:val="30"/>
        </w:numPr>
        <w:spacing w:after="160"/>
        <w:rPr>
          <w:rFonts w:ascii="Arial" w:hAnsi="Arial" w:cs="Arial"/>
          <w:sz w:val="24"/>
          <w:szCs w:val="24"/>
        </w:rPr>
      </w:pPr>
      <w:r w:rsidRPr="00252FAB">
        <w:rPr>
          <w:rFonts w:ascii="Arial" w:hAnsi="Arial" w:cs="Arial"/>
          <w:sz w:val="24"/>
          <w:szCs w:val="24"/>
        </w:rPr>
        <w:t>Please confirm whether London Hydro agrees that these savings should be removed.</w:t>
      </w:r>
    </w:p>
    <w:p w:rsidR="00252FAB" w:rsidRDefault="00252FAB" w:rsidP="00252FAB">
      <w:pPr>
        <w:pStyle w:val="CommentText"/>
        <w:numPr>
          <w:ilvl w:val="0"/>
          <w:numId w:val="29"/>
        </w:numPr>
        <w:spacing w:after="160"/>
        <w:rPr>
          <w:rFonts w:ascii="Arial" w:hAnsi="Arial" w:cs="Arial"/>
          <w:sz w:val="24"/>
          <w:szCs w:val="24"/>
        </w:rPr>
      </w:pPr>
      <w:r w:rsidRPr="00252FAB">
        <w:rPr>
          <w:rFonts w:ascii="Arial" w:hAnsi="Arial" w:cs="Arial"/>
          <w:sz w:val="24"/>
          <w:szCs w:val="24"/>
        </w:rPr>
        <w:t>If London Hydro agrees with not claiming 2015 adjustment in the current LRAMVA claim, please remove the savings in cells R64 to R67 in Table 1-b of Tab 1 (this will automatically remove the carrying charges related to the 2015 adjustment from the total carrying charges).  Please also confirm that the carrying charges related to the 2015 savings adjustment have been removed from the LRAMVA total.</w:t>
      </w:r>
    </w:p>
    <w:p w:rsidR="00252FAB" w:rsidRPr="00252FAB" w:rsidRDefault="00E45650" w:rsidP="00252FAB">
      <w:pPr>
        <w:pStyle w:val="CommentText"/>
        <w:spacing w:after="160"/>
        <w:rPr>
          <w:rFonts w:ascii="Arial" w:hAnsi="Arial" w:cs="Arial"/>
          <w:b/>
          <w:sz w:val="24"/>
          <w:szCs w:val="24"/>
        </w:rPr>
      </w:pPr>
      <w:r>
        <w:rPr>
          <w:rFonts w:ascii="Arial" w:hAnsi="Arial" w:cs="Arial"/>
          <w:b/>
          <w:sz w:val="24"/>
          <w:szCs w:val="24"/>
        </w:rPr>
        <w:lastRenderedPageBreak/>
        <w:t>Staff Question</w:t>
      </w:r>
      <w:r w:rsidR="00252FAB">
        <w:rPr>
          <w:rFonts w:ascii="Arial" w:hAnsi="Arial" w:cs="Arial"/>
          <w:b/>
          <w:sz w:val="24"/>
          <w:szCs w:val="24"/>
        </w:rPr>
        <w:t>-2</w:t>
      </w:r>
    </w:p>
    <w:p w:rsidR="00252FAB" w:rsidRPr="00252FAB" w:rsidRDefault="00252FAB" w:rsidP="00252FAB">
      <w:pPr>
        <w:rPr>
          <w:rFonts w:ascii="Arial" w:hAnsi="Arial" w:cs="Arial"/>
          <w:b/>
          <w:sz w:val="24"/>
          <w:szCs w:val="24"/>
        </w:rPr>
      </w:pPr>
      <w:r w:rsidRPr="00252FAB">
        <w:rPr>
          <w:rFonts w:ascii="Arial" w:hAnsi="Arial" w:cs="Arial"/>
          <w:b/>
          <w:sz w:val="24"/>
          <w:szCs w:val="24"/>
        </w:rPr>
        <w:t>Ref:</w:t>
      </w:r>
      <w:r w:rsidRPr="00252FAB">
        <w:rPr>
          <w:rFonts w:ascii="Arial" w:hAnsi="Arial" w:cs="Arial"/>
          <w:b/>
          <w:sz w:val="24"/>
          <w:szCs w:val="24"/>
        </w:rPr>
        <w:tab/>
        <w:t>Tabs 4 and 5 of the LRAMVA Work Form</w:t>
      </w:r>
    </w:p>
    <w:p w:rsidR="00252FAB" w:rsidRPr="00252FAB" w:rsidRDefault="00252FAB" w:rsidP="00252FAB">
      <w:pPr>
        <w:rPr>
          <w:rFonts w:ascii="Arial" w:hAnsi="Arial" w:cs="Arial"/>
          <w:sz w:val="24"/>
          <w:szCs w:val="24"/>
        </w:rPr>
      </w:pPr>
      <w:r w:rsidRPr="00252FAB">
        <w:rPr>
          <w:rFonts w:ascii="Arial" w:hAnsi="Arial" w:cs="Arial"/>
          <w:sz w:val="24"/>
          <w:szCs w:val="24"/>
        </w:rPr>
        <w:t xml:space="preserve">Between 2011 and 2014, 92% of the savings from each of the </w:t>
      </w:r>
      <w:proofErr w:type="spellStart"/>
      <w:r w:rsidRPr="00252FAB">
        <w:rPr>
          <w:rFonts w:ascii="Arial" w:hAnsi="Arial" w:cs="Arial"/>
          <w:sz w:val="24"/>
          <w:szCs w:val="24"/>
        </w:rPr>
        <w:t>saveOnEnergy</w:t>
      </w:r>
      <w:proofErr w:type="spellEnd"/>
      <w:r w:rsidRPr="00252FAB">
        <w:rPr>
          <w:rFonts w:ascii="Arial" w:hAnsi="Arial" w:cs="Arial"/>
          <w:sz w:val="24"/>
          <w:szCs w:val="24"/>
        </w:rPr>
        <w:t xml:space="preserve"> business retrofit and new construction programs were allocated to the GS 50-4999 kW class, and 8% of the savings were allocated to the GS&lt;50 kW class.  In 2015 and 2016, the rate class allocations for these two programs appear to have changed to approximately 23% of savings allocated to GS&lt;50 kW customers, 53% of savings allocated to GS 50-4999 kW customers, and 3% of savings allocated to cogeneration (1000-4999 kW) customers.</w:t>
      </w:r>
    </w:p>
    <w:p w:rsidR="00252FAB" w:rsidRPr="00252FAB" w:rsidRDefault="00252FAB" w:rsidP="00252FAB">
      <w:pPr>
        <w:spacing w:after="160" w:line="259" w:lineRule="auto"/>
        <w:rPr>
          <w:rFonts w:ascii="Arial" w:hAnsi="Arial" w:cs="Arial"/>
          <w:sz w:val="24"/>
          <w:szCs w:val="24"/>
        </w:rPr>
      </w:pPr>
      <w:r w:rsidRPr="00252FAB">
        <w:rPr>
          <w:rFonts w:ascii="Arial" w:hAnsi="Arial" w:cs="Arial"/>
          <w:sz w:val="24"/>
          <w:szCs w:val="24"/>
        </w:rPr>
        <w:t>Please discuss the rationale for changes to the rate class allocations for the business retrofit and new construction programs over the 2011-2016 period.</w:t>
      </w:r>
    </w:p>
    <w:p w:rsidR="00252FAB" w:rsidRDefault="00252FAB" w:rsidP="00252FAB">
      <w:pPr>
        <w:pStyle w:val="CommentText"/>
        <w:spacing w:after="160"/>
        <w:rPr>
          <w:rFonts w:ascii="Arial" w:hAnsi="Arial" w:cs="Arial"/>
          <w:b/>
          <w:sz w:val="24"/>
          <w:szCs w:val="24"/>
        </w:rPr>
      </w:pPr>
    </w:p>
    <w:p w:rsidR="00252FAB" w:rsidRDefault="00E45650" w:rsidP="00252FAB">
      <w:pPr>
        <w:pStyle w:val="CommentText"/>
        <w:spacing w:after="160"/>
        <w:rPr>
          <w:rFonts w:ascii="Arial" w:hAnsi="Arial" w:cs="Arial"/>
          <w:b/>
          <w:sz w:val="24"/>
          <w:szCs w:val="24"/>
        </w:rPr>
      </w:pPr>
      <w:r>
        <w:rPr>
          <w:rFonts w:ascii="Arial" w:hAnsi="Arial" w:cs="Arial"/>
          <w:b/>
          <w:sz w:val="24"/>
          <w:szCs w:val="24"/>
        </w:rPr>
        <w:t>Staff Question</w:t>
      </w:r>
      <w:r w:rsidR="00252FAB">
        <w:rPr>
          <w:rFonts w:ascii="Arial" w:hAnsi="Arial" w:cs="Arial"/>
          <w:b/>
          <w:sz w:val="24"/>
          <w:szCs w:val="24"/>
        </w:rPr>
        <w:t>-3</w:t>
      </w:r>
    </w:p>
    <w:p w:rsidR="00252FAB" w:rsidRPr="00FB6810" w:rsidRDefault="00252FAB" w:rsidP="00252FAB">
      <w:pPr>
        <w:rPr>
          <w:rFonts w:ascii="Arial" w:hAnsi="Arial" w:cs="Arial"/>
          <w:b/>
          <w:sz w:val="24"/>
          <w:szCs w:val="24"/>
        </w:rPr>
      </w:pPr>
      <w:r w:rsidRPr="00FB6810">
        <w:rPr>
          <w:rFonts w:ascii="Arial" w:hAnsi="Arial" w:cs="Arial"/>
          <w:b/>
          <w:sz w:val="24"/>
          <w:szCs w:val="24"/>
        </w:rPr>
        <w:t>Ref:  Application, page 34 - ACM</w:t>
      </w:r>
    </w:p>
    <w:p w:rsidR="00252FAB" w:rsidRPr="00FB6810" w:rsidRDefault="00252FAB" w:rsidP="00252FAB">
      <w:pPr>
        <w:rPr>
          <w:rFonts w:ascii="Arial" w:hAnsi="Arial" w:cs="Arial"/>
          <w:sz w:val="24"/>
          <w:szCs w:val="24"/>
        </w:rPr>
      </w:pPr>
      <w:r w:rsidRPr="00FB6810">
        <w:rPr>
          <w:rFonts w:ascii="Arial" w:hAnsi="Arial" w:cs="Arial"/>
          <w:sz w:val="24"/>
          <w:szCs w:val="24"/>
        </w:rPr>
        <w:t>On page 34 of the Application, London Hydro states that its most recent return on equity capital, for the 2016 year, is 5.99, which “does not exceed 300 basis points above the deemed return on equity of 8.98% embedded in the London Hydro’s rates”.</w:t>
      </w:r>
    </w:p>
    <w:p w:rsidR="00252FAB" w:rsidRPr="00FB6810" w:rsidRDefault="00252FAB" w:rsidP="00252FAB">
      <w:pPr>
        <w:rPr>
          <w:rFonts w:ascii="Arial" w:hAnsi="Arial" w:cs="Arial"/>
          <w:sz w:val="24"/>
          <w:szCs w:val="24"/>
        </w:rPr>
      </w:pPr>
      <w:r w:rsidRPr="00FB6810">
        <w:rPr>
          <w:rFonts w:ascii="Arial" w:hAnsi="Arial" w:cs="Arial"/>
          <w:sz w:val="24"/>
          <w:szCs w:val="24"/>
        </w:rPr>
        <w:t>The OEB-issued allowed ROE for 2017 rates is 8.78%. Please confirm the ROE approved for London Hydro in its most recent cost of service application to rebase rates in 2017 (EB-2017-0091).</w:t>
      </w:r>
    </w:p>
    <w:p w:rsidR="008F38C3" w:rsidRDefault="008F38C3" w:rsidP="00252FAB">
      <w:pPr>
        <w:rPr>
          <w:rFonts w:ascii="Arial" w:hAnsi="Arial" w:cs="Arial"/>
          <w:b/>
          <w:sz w:val="24"/>
          <w:szCs w:val="24"/>
        </w:rPr>
      </w:pPr>
    </w:p>
    <w:p w:rsidR="00252FAB" w:rsidRDefault="00E45650" w:rsidP="00252FAB">
      <w:pPr>
        <w:rPr>
          <w:rFonts w:ascii="Arial" w:hAnsi="Arial" w:cs="Arial"/>
          <w:b/>
          <w:sz w:val="24"/>
          <w:szCs w:val="24"/>
        </w:rPr>
      </w:pPr>
      <w:r>
        <w:rPr>
          <w:rFonts w:ascii="Arial" w:hAnsi="Arial" w:cs="Arial"/>
          <w:b/>
          <w:sz w:val="24"/>
          <w:szCs w:val="24"/>
        </w:rPr>
        <w:t>Staff Question</w:t>
      </w:r>
      <w:r w:rsidR="00252FAB">
        <w:rPr>
          <w:rFonts w:ascii="Arial" w:hAnsi="Arial" w:cs="Arial"/>
          <w:b/>
          <w:sz w:val="24"/>
          <w:szCs w:val="24"/>
        </w:rPr>
        <w:t>-4</w:t>
      </w:r>
      <w:r w:rsidR="00252FAB" w:rsidRPr="00FB6810">
        <w:rPr>
          <w:rFonts w:ascii="Arial" w:hAnsi="Arial" w:cs="Arial"/>
          <w:b/>
          <w:sz w:val="24"/>
          <w:szCs w:val="24"/>
        </w:rPr>
        <w:tab/>
      </w:r>
    </w:p>
    <w:p w:rsidR="00252FAB" w:rsidRPr="00FB6810" w:rsidRDefault="00252FAB" w:rsidP="00252FAB">
      <w:pPr>
        <w:rPr>
          <w:rFonts w:ascii="Arial" w:hAnsi="Arial" w:cs="Arial"/>
          <w:b/>
          <w:sz w:val="24"/>
          <w:szCs w:val="24"/>
        </w:rPr>
      </w:pPr>
      <w:r w:rsidRPr="00FB6810">
        <w:rPr>
          <w:rFonts w:ascii="Arial" w:hAnsi="Arial" w:cs="Arial"/>
          <w:b/>
          <w:sz w:val="24"/>
          <w:szCs w:val="24"/>
        </w:rPr>
        <w:t xml:space="preserve">Ref:  ACM Model, sheets 4 Growth Fact – NUM_CALC1 and 5 </w:t>
      </w:r>
      <w:proofErr w:type="spellStart"/>
      <w:r w:rsidRPr="00FB6810">
        <w:rPr>
          <w:rFonts w:ascii="Arial" w:hAnsi="Arial" w:cs="Arial"/>
          <w:b/>
          <w:sz w:val="24"/>
          <w:szCs w:val="24"/>
        </w:rPr>
        <w:t>Groth</w:t>
      </w:r>
      <w:proofErr w:type="spellEnd"/>
      <w:r w:rsidRPr="00FB6810">
        <w:rPr>
          <w:rFonts w:ascii="Arial" w:hAnsi="Arial" w:cs="Arial"/>
          <w:b/>
          <w:sz w:val="24"/>
          <w:szCs w:val="24"/>
        </w:rPr>
        <w:t xml:space="preserve"> Fact – NUM CALC2</w:t>
      </w:r>
    </w:p>
    <w:p w:rsidR="00252FAB" w:rsidRPr="00FB6810" w:rsidRDefault="00252FAB" w:rsidP="00252FAB">
      <w:pPr>
        <w:rPr>
          <w:rFonts w:ascii="Arial" w:hAnsi="Arial" w:cs="Arial"/>
          <w:sz w:val="24"/>
          <w:szCs w:val="24"/>
        </w:rPr>
      </w:pPr>
      <w:r w:rsidRPr="00FB6810">
        <w:rPr>
          <w:rFonts w:ascii="Arial" w:hAnsi="Arial" w:cs="Arial"/>
          <w:sz w:val="24"/>
          <w:szCs w:val="24"/>
        </w:rPr>
        <w:t>London Hydro documents the following 2017 customer and load forecast for the GS 50-4999 kW class:</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t>Number of customers 1556</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t>kWh  1,550,902,793</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t>kW  3,814,310</w:t>
      </w:r>
    </w:p>
    <w:p w:rsidR="00252FAB" w:rsidRPr="00FB6810" w:rsidRDefault="00252FAB" w:rsidP="00252FAB">
      <w:pPr>
        <w:rPr>
          <w:rFonts w:ascii="Arial" w:hAnsi="Arial" w:cs="Arial"/>
          <w:sz w:val="24"/>
          <w:szCs w:val="24"/>
        </w:rPr>
      </w:pPr>
      <w:r w:rsidRPr="00FB6810">
        <w:rPr>
          <w:rFonts w:ascii="Arial" w:hAnsi="Arial" w:cs="Arial"/>
          <w:sz w:val="24"/>
          <w:szCs w:val="24"/>
        </w:rPr>
        <w:t>These are different from the load forecast in the Settlement Agreement approved in London Hydro’s 2017 cost of service application EB-2016-0091:</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t>Number of customers 1552</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lastRenderedPageBreak/>
        <w:t>kWh  1,483,228,611</w:t>
      </w:r>
    </w:p>
    <w:p w:rsidR="00252FAB" w:rsidRPr="00FB6810" w:rsidRDefault="00252FAB" w:rsidP="00252FAB">
      <w:pPr>
        <w:pStyle w:val="ListParagraph"/>
        <w:numPr>
          <w:ilvl w:val="0"/>
          <w:numId w:val="32"/>
        </w:numPr>
        <w:spacing w:after="160" w:line="259" w:lineRule="auto"/>
        <w:rPr>
          <w:rFonts w:ascii="Arial" w:hAnsi="Arial" w:cs="Arial"/>
          <w:sz w:val="24"/>
          <w:szCs w:val="24"/>
        </w:rPr>
      </w:pPr>
      <w:r w:rsidRPr="00FB6810">
        <w:rPr>
          <w:rFonts w:ascii="Arial" w:hAnsi="Arial" w:cs="Arial"/>
          <w:sz w:val="24"/>
          <w:szCs w:val="24"/>
        </w:rPr>
        <w:t>kW  3,782,233</w:t>
      </w:r>
    </w:p>
    <w:p w:rsidR="00252FAB" w:rsidRPr="00FB6810" w:rsidRDefault="00252FAB" w:rsidP="00252FAB">
      <w:pPr>
        <w:rPr>
          <w:rFonts w:ascii="Arial" w:hAnsi="Arial" w:cs="Arial"/>
          <w:sz w:val="24"/>
          <w:szCs w:val="24"/>
        </w:rPr>
      </w:pPr>
      <w:r w:rsidRPr="00FB6810">
        <w:rPr>
          <w:rFonts w:ascii="Arial" w:hAnsi="Arial" w:cs="Arial"/>
          <w:sz w:val="24"/>
          <w:szCs w:val="24"/>
        </w:rPr>
        <w:t>The difference appears to be due to the addition of data for 4 Wholesale Market Participant Customers. However, in the RRWF filed as part of the Draft Rate Order in EB-2016-0091, London Hydro calculated no distribution rates or revenues for these customers, but their addition into the GS 50-4999 kW class add revenues on sheet 5 of the ACM model.</w:t>
      </w:r>
    </w:p>
    <w:p w:rsidR="00252FAB" w:rsidRPr="00FB6810" w:rsidRDefault="00252FAB" w:rsidP="00252FAB">
      <w:pPr>
        <w:rPr>
          <w:rFonts w:ascii="Arial" w:hAnsi="Arial" w:cs="Arial"/>
          <w:sz w:val="24"/>
          <w:szCs w:val="24"/>
        </w:rPr>
      </w:pPr>
      <w:r w:rsidRPr="00FB6810">
        <w:rPr>
          <w:rFonts w:ascii="Arial" w:hAnsi="Arial" w:cs="Arial"/>
          <w:sz w:val="24"/>
          <w:szCs w:val="24"/>
        </w:rPr>
        <w:t>Numbers for other customer classes correspond with the 2017 load forecast.</w:t>
      </w:r>
    </w:p>
    <w:p w:rsidR="00252FAB" w:rsidRPr="00FB6810" w:rsidRDefault="00252FAB" w:rsidP="00252FAB">
      <w:pPr>
        <w:rPr>
          <w:rFonts w:ascii="Arial" w:hAnsi="Arial" w:cs="Arial"/>
          <w:sz w:val="24"/>
          <w:szCs w:val="24"/>
        </w:rPr>
      </w:pPr>
      <w:r w:rsidRPr="00FB6810">
        <w:rPr>
          <w:rFonts w:ascii="Arial" w:hAnsi="Arial" w:cs="Arial"/>
          <w:sz w:val="24"/>
          <w:szCs w:val="24"/>
        </w:rPr>
        <w:t>Please provide an explanation and reconciliation, as necessary to account for the differences in the final RRWF in EB-2016-0091 and the current ACM model.</w:t>
      </w:r>
    </w:p>
    <w:p w:rsidR="008F38C3" w:rsidRDefault="008F38C3" w:rsidP="00252FAB">
      <w:pPr>
        <w:rPr>
          <w:rFonts w:ascii="Arial" w:hAnsi="Arial" w:cs="Arial"/>
          <w:b/>
          <w:sz w:val="24"/>
          <w:szCs w:val="24"/>
        </w:rPr>
      </w:pPr>
    </w:p>
    <w:p w:rsidR="00252FAB" w:rsidRDefault="00E45650" w:rsidP="00252FAB">
      <w:pPr>
        <w:rPr>
          <w:rFonts w:ascii="Arial" w:hAnsi="Arial" w:cs="Arial"/>
          <w:b/>
          <w:sz w:val="24"/>
          <w:szCs w:val="24"/>
        </w:rPr>
      </w:pPr>
      <w:r>
        <w:rPr>
          <w:rFonts w:ascii="Arial" w:hAnsi="Arial" w:cs="Arial"/>
          <w:b/>
          <w:sz w:val="24"/>
          <w:szCs w:val="24"/>
        </w:rPr>
        <w:t>Staff Question</w:t>
      </w:r>
      <w:r w:rsidR="00252FAB">
        <w:rPr>
          <w:rFonts w:ascii="Arial" w:hAnsi="Arial" w:cs="Arial"/>
          <w:b/>
          <w:sz w:val="24"/>
          <w:szCs w:val="24"/>
        </w:rPr>
        <w:t>-5</w:t>
      </w:r>
      <w:r w:rsidR="00252FAB" w:rsidRPr="00FB6810">
        <w:rPr>
          <w:rFonts w:ascii="Arial" w:hAnsi="Arial" w:cs="Arial"/>
          <w:b/>
          <w:sz w:val="24"/>
          <w:szCs w:val="24"/>
        </w:rPr>
        <w:tab/>
      </w:r>
    </w:p>
    <w:p w:rsidR="00252FAB" w:rsidRPr="00FB6810" w:rsidRDefault="00252FAB" w:rsidP="00252FAB">
      <w:pPr>
        <w:rPr>
          <w:rFonts w:ascii="Arial" w:hAnsi="Arial" w:cs="Arial"/>
          <w:b/>
          <w:sz w:val="24"/>
          <w:szCs w:val="24"/>
        </w:rPr>
      </w:pPr>
      <w:r w:rsidRPr="00FB6810">
        <w:rPr>
          <w:rFonts w:ascii="Arial" w:hAnsi="Arial" w:cs="Arial"/>
          <w:b/>
          <w:sz w:val="24"/>
          <w:szCs w:val="24"/>
        </w:rPr>
        <w:t xml:space="preserve">Ref:  Application, page 34 and ACM Model, sheet 12 – Opt 1 Rate Rider </w:t>
      </w:r>
      <w:proofErr w:type="spellStart"/>
      <w:r w:rsidRPr="00FB6810">
        <w:rPr>
          <w:rFonts w:ascii="Arial" w:hAnsi="Arial" w:cs="Arial"/>
          <w:b/>
          <w:sz w:val="24"/>
          <w:szCs w:val="24"/>
        </w:rPr>
        <w:t>Calc</w:t>
      </w:r>
      <w:proofErr w:type="spellEnd"/>
      <w:r w:rsidRPr="00FB6810">
        <w:rPr>
          <w:rFonts w:ascii="Arial" w:hAnsi="Arial" w:cs="Arial"/>
          <w:b/>
          <w:sz w:val="24"/>
          <w:szCs w:val="24"/>
        </w:rPr>
        <w:t xml:space="preserve"> F &amp; V</w:t>
      </w:r>
    </w:p>
    <w:p w:rsidR="00252FAB" w:rsidRPr="00FB6810" w:rsidRDefault="00252FAB" w:rsidP="00252FAB">
      <w:pPr>
        <w:rPr>
          <w:rFonts w:ascii="Arial" w:hAnsi="Arial" w:cs="Arial"/>
          <w:b/>
          <w:sz w:val="24"/>
          <w:szCs w:val="24"/>
        </w:rPr>
      </w:pPr>
      <w:r w:rsidRPr="00FB6810">
        <w:rPr>
          <w:rFonts w:ascii="Arial" w:hAnsi="Arial" w:cs="Arial"/>
          <w:sz w:val="24"/>
          <w:szCs w:val="24"/>
        </w:rPr>
        <w:t>London Hydro has proposed to recover the ICM incremental revenue requirement solely through a fixed monthly rate rider, for all classes. What is the basis for London Hydro’s proposal? Certain commercial demand-billed classes, such as GS 50-4,999 kW and the GS &gt; 50 kW Co-generation classes, may exhibit heterogeneity in the consumption and demand profiles, so please provide London Hydro’s explanations for why all customers in these classes should bear the same ICM cost burdens despite different profiles. Do they all use and benefit from the qualifying incremental capital in the same way? Are the differences material?</w:t>
      </w:r>
    </w:p>
    <w:p w:rsidR="008F38C3" w:rsidRDefault="008F38C3" w:rsidP="00252FAB">
      <w:pPr>
        <w:rPr>
          <w:rFonts w:ascii="Arial" w:hAnsi="Arial" w:cs="Arial"/>
          <w:b/>
          <w:sz w:val="24"/>
          <w:szCs w:val="24"/>
        </w:rPr>
      </w:pPr>
    </w:p>
    <w:p w:rsidR="00252FAB" w:rsidRDefault="00E45650" w:rsidP="00252FAB">
      <w:pPr>
        <w:rPr>
          <w:rFonts w:ascii="Arial" w:hAnsi="Arial" w:cs="Arial"/>
          <w:b/>
          <w:sz w:val="24"/>
          <w:szCs w:val="24"/>
        </w:rPr>
      </w:pPr>
      <w:r>
        <w:rPr>
          <w:rFonts w:ascii="Arial" w:hAnsi="Arial" w:cs="Arial"/>
          <w:b/>
          <w:sz w:val="24"/>
          <w:szCs w:val="24"/>
        </w:rPr>
        <w:t>Staff Question</w:t>
      </w:r>
      <w:r w:rsidR="00252FAB">
        <w:rPr>
          <w:rFonts w:ascii="Arial" w:hAnsi="Arial" w:cs="Arial"/>
          <w:b/>
          <w:sz w:val="24"/>
          <w:szCs w:val="24"/>
        </w:rPr>
        <w:t>-6</w:t>
      </w:r>
      <w:r w:rsidR="00252FAB" w:rsidRPr="00FB6810">
        <w:rPr>
          <w:rFonts w:ascii="Arial" w:hAnsi="Arial" w:cs="Arial"/>
          <w:b/>
          <w:sz w:val="24"/>
          <w:szCs w:val="24"/>
        </w:rPr>
        <w:tab/>
      </w:r>
    </w:p>
    <w:p w:rsidR="00252FAB" w:rsidRPr="00FB6810" w:rsidRDefault="00252FAB" w:rsidP="00252FAB">
      <w:pPr>
        <w:rPr>
          <w:rFonts w:ascii="Arial" w:hAnsi="Arial" w:cs="Arial"/>
          <w:b/>
          <w:sz w:val="24"/>
          <w:szCs w:val="24"/>
        </w:rPr>
      </w:pPr>
      <w:r w:rsidRPr="00FB6810">
        <w:rPr>
          <w:rFonts w:ascii="Arial" w:hAnsi="Arial" w:cs="Arial"/>
          <w:b/>
          <w:sz w:val="24"/>
          <w:szCs w:val="24"/>
        </w:rPr>
        <w:t>Ref: ACM Model</w:t>
      </w:r>
    </w:p>
    <w:p w:rsidR="00252FAB" w:rsidRPr="00FB6810" w:rsidRDefault="00252FAB" w:rsidP="00252FAB">
      <w:pPr>
        <w:rPr>
          <w:rFonts w:ascii="Arial" w:hAnsi="Arial" w:cs="Arial"/>
          <w:sz w:val="24"/>
          <w:szCs w:val="24"/>
        </w:rPr>
      </w:pPr>
      <w:r w:rsidRPr="00FB6810">
        <w:rPr>
          <w:rFonts w:ascii="Arial" w:hAnsi="Arial" w:cs="Arial"/>
          <w:sz w:val="24"/>
          <w:szCs w:val="24"/>
        </w:rPr>
        <w:t xml:space="preserve">In response to any changes made due to responses to interrogatories, and to account for London Hydro’s assigned stretch factor for 2018 and for the Input Price Index (IPI) for 2018 Price Cap IR applications issued on November 23, 2017, with an IPI of 1.2%, please file an updated ACM model in working Microsoft Excel format. Changes in resulting ICM rate riders should be identified. </w:t>
      </w:r>
    </w:p>
    <w:p w:rsidR="008F38C3" w:rsidRDefault="008F38C3" w:rsidP="00E45650">
      <w:pPr>
        <w:rPr>
          <w:rFonts w:ascii="Arial" w:hAnsi="Arial" w:cs="Arial"/>
          <w:b/>
          <w:sz w:val="24"/>
          <w:szCs w:val="24"/>
        </w:rPr>
      </w:pPr>
    </w:p>
    <w:p w:rsidR="008F38C3" w:rsidRDefault="008F38C3" w:rsidP="00E45650">
      <w:pPr>
        <w:rPr>
          <w:rFonts w:ascii="Arial" w:hAnsi="Arial" w:cs="Arial"/>
          <w:b/>
          <w:sz w:val="24"/>
          <w:szCs w:val="24"/>
        </w:rPr>
      </w:pPr>
    </w:p>
    <w:p w:rsidR="008F38C3" w:rsidRDefault="008F38C3" w:rsidP="00E45650">
      <w:pPr>
        <w:rPr>
          <w:rFonts w:ascii="Arial" w:hAnsi="Arial" w:cs="Arial"/>
          <w:b/>
          <w:sz w:val="24"/>
          <w:szCs w:val="24"/>
        </w:rPr>
      </w:pPr>
    </w:p>
    <w:p w:rsidR="00E45650" w:rsidRPr="00F1030E" w:rsidRDefault="00E45650" w:rsidP="00E45650">
      <w:pPr>
        <w:rPr>
          <w:rFonts w:ascii="Arial" w:hAnsi="Arial" w:cs="Arial"/>
          <w:sz w:val="24"/>
          <w:szCs w:val="24"/>
        </w:rPr>
      </w:pPr>
      <w:r>
        <w:rPr>
          <w:rFonts w:ascii="Arial" w:hAnsi="Arial" w:cs="Arial"/>
          <w:b/>
          <w:sz w:val="24"/>
          <w:szCs w:val="24"/>
        </w:rPr>
        <w:lastRenderedPageBreak/>
        <w:t>Staff Question-7</w:t>
      </w:r>
    </w:p>
    <w:p w:rsidR="00E45650" w:rsidRDefault="00E45650" w:rsidP="00E45650">
      <w:pPr>
        <w:pStyle w:val="ListParagraph"/>
        <w:numPr>
          <w:ilvl w:val="0"/>
          <w:numId w:val="33"/>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ec. 31, 2016 balance in Account 1588, all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w:t>
      </w:r>
      <w:proofErr w:type="gramStart"/>
      <w:r>
        <w:rPr>
          <w:rFonts w:ascii="Arial" w:hAnsi="Arial" w:cs="Arial"/>
          <w:sz w:val="24"/>
          <w:szCs w:val="24"/>
        </w:rPr>
        <w:t>iv</w:t>
      </w:r>
      <w:proofErr w:type="gramEnd"/>
      <w:r>
        <w:rPr>
          <w:rFonts w:ascii="Arial" w:hAnsi="Arial" w:cs="Arial"/>
          <w:sz w:val="24"/>
          <w:szCs w:val="24"/>
        </w:rPr>
        <w:t xml:space="preserve">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E45650" w:rsidTr="0050563A">
        <w:tc>
          <w:tcPr>
            <w:tcW w:w="390"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b/>
                <w:sz w:val="20"/>
                <w:szCs w:val="20"/>
              </w:rPr>
            </w:pPr>
            <w:r w:rsidRPr="00FE126C">
              <w:rPr>
                <w:rFonts w:ascii="Arial" w:hAnsi="Arial" w:cs="Arial"/>
                <w:b/>
                <w:sz w:val="20"/>
                <w:szCs w:val="20"/>
              </w:rPr>
              <w:t>Component</w:t>
            </w:r>
          </w:p>
        </w:tc>
        <w:tc>
          <w:tcPr>
            <w:tcW w:w="1870" w:type="dxa"/>
          </w:tcPr>
          <w:p w:rsidR="00E45650" w:rsidRPr="00FE126C" w:rsidRDefault="00E45650" w:rsidP="0050563A">
            <w:pPr>
              <w:rPr>
                <w:rFonts w:ascii="Arial" w:hAnsi="Arial" w:cs="Arial"/>
                <w:b/>
                <w:sz w:val="20"/>
                <w:szCs w:val="20"/>
              </w:rPr>
            </w:pPr>
            <w:r w:rsidRPr="00FE126C">
              <w:rPr>
                <w:rFonts w:ascii="Arial" w:hAnsi="Arial" w:cs="Arial"/>
                <w:b/>
                <w:sz w:val="20"/>
                <w:szCs w:val="20"/>
              </w:rPr>
              <w:t>a) Estimate or Actual</w:t>
            </w:r>
          </w:p>
        </w:tc>
        <w:tc>
          <w:tcPr>
            <w:tcW w:w="3605" w:type="dxa"/>
          </w:tcPr>
          <w:p w:rsidR="00E45650" w:rsidRPr="00FE126C" w:rsidRDefault="00E45650" w:rsidP="0050563A">
            <w:pPr>
              <w:rPr>
                <w:rFonts w:ascii="Arial" w:hAnsi="Arial" w:cs="Arial"/>
                <w:b/>
                <w:sz w:val="20"/>
                <w:szCs w:val="20"/>
              </w:rPr>
            </w:pPr>
            <w:r w:rsidRPr="00FE126C">
              <w:rPr>
                <w:rFonts w:ascii="Arial" w:hAnsi="Arial" w:cs="Arial"/>
                <w:b/>
                <w:sz w:val="20"/>
                <w:szCs w:val="20"/>
              </w:rPr>
              <w:t>Notes/Comments</w:t>
            </w:r>
          </w:p>
        </w:tc>
        <w:tc>
          <w:tcPr>
            <w:tcW w:w="1870" w:type="dxa"/>
          </w:tcPr>
          <w:p w:rsidR="00E45650" w:rsidRPr="00FE126C" w:rsidRDefault="00E45650" w:rsidP="0050563A">
            <w:pPr>
              <w:rPr>
                <w:rFonts w:ascii="Arial" w:hAnsi="Arial" w:cs="Arial"/>
                <w:b/>
                <w:sz w:val="20"/>
                <w:szCs w:val="20"/>
              </w:rPr>
            </w:pPr>
            <w:r w:rsidRPr="00FE126C">
              <w:rPr>
                <w:rFonts w:ascii="Arial" w:hAnsi="Arial" w:cs="Arial"/>
                <w:b/>
                <w:sz w:val="20"/>
                <w:szCs w:val="20"/>
              </w:rPr>
              <w:t>b) Quantify True Up  Adjustment</w:t>
            </w:r>
          </w:p>
        </w:tc>
      </w:tr>
      <w:tr w:rsidR="00E45650" w:rsidTr="0050563A">
        <w:tc>
          <w:tcPr>
            <w:tcW w:w="390" w:type="dxa"/>
          </w:tcPr>
          <w:p w:rsidR="00E45650" w:rsidRPr="00FE126C" w:rsidRDefault="00E45650" w:rsidP="0050563A">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E45650" w:rsidRPr="00FE126C" w:rsidRDefault="00E45650" w:rsidP="0050563A">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c>
          <w:tcPr>
            <w:tcW w:w="3605"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r>
      <w:tr w:rsidR="00E45650" w:rsidTr="0050563A">
        <w:tc>
          <w:tcPr>
            <w:tcW w:w="390" w:type="dxa"/>
          </w:tcPr>
          <w:p w:rsidR="00E45650" w:rsidRPr="00FE126C" w:rsidRDefault="00880100" w:rsidP="0050563A">
            <w:pPr>
              <w:rPr>
                <w:rFonts w:ascii="Arial" w:hAnsi="Arial" w:cs="Arial"/>
                <w:sz w:val="20"/>
                <w:szCs w:val="20"/>
              </w:rPr>
            </w:pPr>
            <w:r>
              <w:rPr>
                <w:rFonts w:ascii="Arial" w:hAnsi="Arial" w:cs="Arial"/>
                <w:sz w:val="20"/>
                <w:szCs w:val="20"/>
              </w:rPr>
              <w:t>i</w:t>
            </w:r>
            <w:r w:rsidR="00E45650">
              <w:rPr>
                <w:rFonts w:ascii="Arial" w:hAnsi="Arial" w:cs="Arial"/>
                <w:sz w:val="20"/>
                <w:szCs w:val="20"/>
              </w:rPr>
              <w:t>i</w:t>
            </w:r>
          </w:p>
        </w:tc>
        <w:tc>
          <w:tcPr>
            <w:tcW w:w="1870" w:type="dxa"/>
          </w:tcPr>
          <w:p w:rsidR="00E45650" w:rsidRDefault="00E45650" w:rsidP="0050563A">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rsidR="00E45650" w:rsidRPr="00FE126C" w:rsidRDefault="00E45650" w:rsidP="0050563A">
            <w:pPr>
              <w:rPr>
                <w:rFonts w:ascii="Arial" w:hAnsi="Arial" w:cs="Arial"/>
                <w:sz w:val="20"/>
                <w:szCs w:val="20"/>
              </w:rPr>
            </w:pPr>
          </w:p>
        </w:tc>
        <w:tc>
          <w:tcPr>
            <w:tcW w:w="3605"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r>
      <w:tr w:rsidR="00E45650" w:rsidTr="0050563A">
        <w:tc>
          <w:tcPr>
            <w:tcW w:w="390" w:type="dxa"/>
          </w:tcPr>
          <w:p w:rsidR="00E45650" w:rsidRPr="00FE126C" w:rsidRDefault="00E45650" w:rsidP="0050563A">
            <w:pPr>
              <w:rPr>
                <w:rFonts w:ascii="Arial" w:hAnsi="Arial" w:cs="Arial"/>
                <w:sz w:val="20"/>
                <w:szCs w:val="20"/>
              </w:rPr>
            </w:pPr>
            <w:proofErr w:type="spellStart"/>
            <w:r>
              <w:rPr>
                <w:rFonts w:ascii="Arial" w:hAnsi="Arial" w:cs="Arial"/>
                <w:sz w:val="20"/>
                <w:szCs w:val="20"/>
              </w:rPr>
              <w:t>ijj</w:t>
            </w:r>
            <w:proofErr w:type="spellEnd"/>
          </w:p>
        </w:tc>
        <w:tc>
          <w:tcPr>
            <w:tcW w:w="1870" w:type="dxa"/>
          </w:tcPr>
          <w:p w:rsidR="00E45650" w:rsidRPr="00FE126C" w:rsidRDefault="00E45650" w:rsidP="0050563A">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c>
          <w:tcPr>
            <w:tcW w:w="3605"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r>
      <w:tr w:rsidR="00E45650" w:rsidTr="0050563A">
        <w:tc>
          <w:tcPr>
            <w:tcW w:w="390" w:type="dxa"/>
          </w:tcPr>
          <w:p w:rsidR="00E45650" w:rsidRPr="00FE126C" w:rsidRDefault="00E45650" w:rsidP="0050563A">
            <w:pPr>
              <w:rPr>
                <w:rFonts w:ascii="Arial" w:hAnsi="Arial" w:cs="Arial"/>
                <w:sz w:val="20"/>
                <w:szCs w:val="20"/>
              </w:rPr>
            </w:pPr>
            <w:r>
              <w:rPr>
                <w:rFonts w:ascii="Arial" w:hAnsi="Arial" w:cs="Arial"/>
                <w:sz w:val="20"/>
                <w:szCs w:val="20"/>
              </w:rPr>
              <w:t>iv</w:t>
            </w:r>
          </w:p>
        </w:tc>
        <w:tc>
          <w:tcPr>
            <w:tcW w:w="1870" w:type="dxa"/>
          </w:tcPr>
          <w:p w:rsidR="00E45650" w:rsidRPr="00FE126C" w:rsidRDefault="00E45650" w:rsidP="0050563A">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c>
          <w:tcPr>
            <w:tcW w:w="3605"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r>
      <w:tr w:rsidR="00E45650" w:rsidTr="0050563A">
        <w:tc>
          <w:tcPr>
            <w:tcW w:w="390" w:type="dxa"/>
          </w:tcPr>
          <w:p w:rsidR="00E45650" w:rsidRPr="00FE126C" w:rsidRDefault="00E45650" w:rsidP="0050563A">
            <w:pPr>
              <w:rPr>
                <w:rFonts w:ascii="Arial" w:hAnsi="Arial" w:cs="Arial"/>
                <w:sz w:val="20"/>
                <w:szCs w:val="20"/>
              </w:rPr>
            </w:pPr>
            <w:r>
              <w:rPr>
                <w:rFonts w:ascii="Arial" w:hAnsi="Arial" w:cs="Arial"/>
                <w:sz w:val="20"/>
                <w:szCs w:val="20"/>
              </w:rPr>
              <w:t>v</w:t>
            </w:r>
          </w:p>
        </w:tc>
        <w:tc>
          <w:tcPr>
            <w:tcW w:w="1870" w:type="dxa"/>
          </w:tcPr>
          <w:p w:rsidR="00E45650" w:rsidRPr="00FE126C" w:rsidRDefault="00E45650" w:rsidP="0050563A">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c>
          <w:tcPr>
            <w:tcW w:w="3605" w:type="dxa"/>
          </w:tcPr>
          <w:p w:rsidR="00E45650" w:rsidRPr="00FE126C" w:rsidRDefault="00E45650" w:rsidP="0050563A">
            <w:pPr>
              <w:rPr>
                <w:rFonts w:ascii="Arial" w:hAnsi="Arial" w:cs="Arial"/>
                <w:sz w:val="20"/>
                <w:szCs w:val="20"/>
              </w:rPr>
            </w:pPr>
          </w:p>
        </w:tc>
        <w:tc>
          <w:tcPr>
            <w:tcW w:w="1870" w:type="dxa"/>
          </w:tcPr>
          <w:p w:rsidR="00E45650" w:rsidRPr="00FE126C" w:rsidRDefault="00E45650" w:rsidP="0050563A">
            <w:pPr>
              <w:rPr>
                <w:rFonts w:ascii="Arial" w:hAnsi="Arial" w:cs="Arial"/>
                <w:sz w:val="20"/>
                <w:szCs w:val="20"/>
              </w:rPr>
            </w:pPr>
          </w:p>
        </w:tc>
      </w:tr>
    </w:tbl>
    <w:p w:rsidR="00E45650" w:rsidRDefault="00E45650" w:rsidP="00E45650">
      <w:pPr>
        <w:rPr>
          <w:rFonts w:ascii="Arial" w:hAnsi="Arial" w:cs="Arial"/>
          <w:b/>
          <w:bCs/>
          <w:i/>
          <w:sz w:val="24"/>
          <w:szCs w:val="24"/>
        </w:rPr>
      </w:pPr>
    </w:p>
    <w:p w:rsidR="002F31B0" w:rsidRDefault="002F31B0" w:rsidP="00E45650">
      <w:pPr>
        <w:rPr>
          <w:rFonts w:ascii="Arial" w:hAnsi="Arial" w:cs="Arial"/>
          <w:b/>
          <w:sz w:val="24"/>
          <w:szCs w:val="24"/>
        </w:rPr>
      </w:pPr>
    </w:p>
    <w:p w:rsidR="00E45650" w:rsidRPr="00F1030E" w:rsidRDefault="00E45650" w:rsidP="00E45650">
      <w:pPr>
        <w:rPr>
          <w:rFonts w:ascii="Arial" w:hAnsi="Arial" w:cs="Arial"/>
          <w:sz w:val="24"/>
          <w:szCs w:val="24"/>
        </w:rPr>
      </w:pPr>
      <w:r>
        <w:rPr>
          <w:rFonts w:ascii="Arial" w:hAnsi="Arial" w:cs="Arial"/>
          <w:b/>
          <w:sz w:val="24"/>
          <w:szCs w:val="24"/>
        </w:rPr>
        <w:lastRenderedPageBreak/>
        <w:t>Staff Question-8</w:t>
      </w:r>
    </w:p>
    <w:p w:rsidR="00E45650" w:rsidRPr="00795C22" w:rsidRDefault="00E45650" w:rsidP="00E45650">
      <w:pPr>
        <w:rPr>
          <w:rFonts w:ascii="Arial" w:hAnsi="Arial" w:cs="Arial"/>
          <w:sz w:val="24"/>
          <w:szCs w:val="24"/>
        </w:rPr>
      </w:pPr>
      <w:r w:rsidRPr="00795C22">
        <w:rPr>
          <w:rFonts w:ascii="Arial" w:hAnsi="Arial" w:cs="Arial"/>
          <w:sz w:val="24"/>
          <w:szCs w:val="24"/>
        </w:rPr>
        <w:t>No adjustment pertaining to impacts of RPP settlement true-up is proposed for Account 1588 or Account 1589, please explain why not.</w:t>
      </w:r>
    </w:p>
    <w:p w:rsidR="005F7706" w:rsidRDefault="005F7706" w:rsidP="005F7706">
      <w:pPr>
        <w:rPr>
          <w:rFonts w:ascii="Arial" w:hAnsi="Arial" w:cs="Arial"/>
          <w:b/>
          <w:sz w:val="24"/>
          <w:szCs w:val="24"/>
        </w:rPr>
      </w:pPr>
      <w:r>
        <w:rPr>
          <w:rFonts w:ascii="Arial" w:hAnsi="Arial" w:cs="Arial"/>
          <w:b/>
          <w:sz w:val="24"/>
          <w:szCs w:val="24"/>
        </w:rPr>
        <w:t>Staff Question-9</w:t>
      </w:r>
    </w:p>
    <w:p w:rsidR="005F7706" w:rsidRPr="005F7706" w:rsidRDefault="005F7706" w:rsidP="005F7706">
      <w:pPr>
        <w:rPr>
          <w:rFonts w:ascii="Arial" w:hAnsi="Arial" w:cs="Arial"/>
          <w:sz w:val="24"/>
          <w:szCs w:val="24"/>
        </w:rPr>
      </w:pPr>
      <w:r>
        <w:rPr>
          <w:rFonts w:ascii="Arial" w:hAnsi="Arial" w:cs="Arial"/>
          <w:sz w:val="24"/>
          <w:szCs w:val="24"/>
        </w:rPr>
        <w:t xml:space="preserve">OEB staff has updated London’s Rate Generator Model for </w:t>
      </w:r>
      <w:r w:rsidR="005C38F4">
        <w:rPr>
          <w:rFonts w:ascii="Arial" w:hAnsi="Arial" w:cs="Arial"/>
          <w:sz w:val="24"/>
          <w:szCs w:val="24"/>
        </w:rPr>
        <w:t xml:space="preserve">the </w:t>
      </w:r>
      <w:r>
        <w:rPr>
          <w:rFonts w:ascii="Arial" w:hAnsi="Arial" w:cs="Arial"/>
          <w:sz w:val="24"/>
          <w:szCs w:val="24"/>
        </w:rPr>
        <w:t>calculation of the RTSR’s</w:t>
      </w:r>
      <w:r w:rsidR="00D748ED">
        <w:rPr>
          <w:rFonts w:ascii="Arial" w:hAnsi="Arial" w:cs="Arial"/>
          <w:sz w:val="24"/>
          <w:szCs w:val="24"/>
        </w:rPr>
        <w:t xml:space="preserve"> and Standby rate class </w:t>
      </w:r>
      <w:proofErr w:type="spellStart"/>
      <w:r w:rsidR="00D748ED">
        <w:rPr>
          <w:rFonts w:ascii="Arial" w:hAnsi="Arial" w:cs="Arial"/>
          <w:sz w:val="24"/>
          <w:szCs w:val="24"/>
        </w:rPr>
        <w:t>tarif</w:t>
      </w:r>
      <w:proofErr w:type="spellEnd"/>
      <w:r>
        <w:rPr>
          <w:rFonts w:ascii="Arial" w:hAnsi="Arial" w:cs="Arial"/>
          <w:sz w:val="24"/>
          <w:szCs w:val="24"/>
        </w:rPr>
        <w:t>. Please confir</w:t>
      </w:r>
      <w:r w:rsidR="005C38F4">
        <w:rPr>
          <w:rFonts w:ascii="Arial" w:hAnsi="Arial" w:cs="Arial"/>
          <w:sz w:val="24"/>
          <w:szCs w:val="24"/>
        </w:rPr>
        <w:t>m the changes are correct. (Updated model is attached to the email)</w:t>
      </w:r>
      <w:bookmarkStart w:id="0" w:name="_GoBack"/>
      <w:bookmarkEnd w:id="0"/>
    </w:p>
    <w:p w:rsidR="00E45650" w:rsidRPr="00F1030E" w:rsidRDefault="00E45650" w:rsidP="00E45650">
      <w:pPr>
        <w:rPr>
          <w:rFonts w:ascii="Arial" w:hAnsi="Arial" w:cs="Arial"/>
          <w:sz w:val="24"/>
          <w:szCs w:val="24"/>
        </w:rPr>
      </w:pPr>
    </w:p>
    <w:p w:rsidR="00252FAB" w:rsidRPr="002D056D" w:rsidRDefault="00252FAB" w:rsidP="008E6045">
      <w:pPr>
        <w:rPr>
          <w:rFonts w:ascii="Arial" w:hAnsi="Arial" w:cs="Arial"/>
          <w:b/>
          <w:sz w:val="24"/>
          <w:szCs w:val="24"/>
        </w:rPr>
      </w:pPr>
    </w:p>
    <w:sectPr w:rsidR="00252FAB" w:rsidRPr="002D056D"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3E0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05E21"/>
    <w:multiLevelType w:val="hybridMultilevel"/>
    <w:tmpl w:val="9E967E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03086"/>
    <w:multiLevelType w:val="hybridMultilevel"/>
    <w:tmpl w:val="D10E8C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7F57121"/>
    <w:multiLevelType w:val="hybridMultilevel"/>
    <w:tmpl w:val="968287E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FF9633E"/>
    <w:multiLevelType w:val="hybridMultilevel"/>
    <w:tmpl w:val="2A08FC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8"/>
  </w:num>
  <w:num w:numId="3">
    <w:abstractNumId w:val="22"/>
  </w:num>
  <w:num w:numId="4">
    <w:abstractNumId w:val="31"/>
  </w:num>
  <w:num w:numId="5">
    <w:abstractNumId w:val="13"/>
  </w:num>
  <w:num w:numId="6">
    <w:abstractNumId w:val="10"/>
  </w:num>
  <w:num w:numId="7">
    <w:abstractNumId w:val="18"/>
  </w:num>
  <w:num w:numId="8">
    <w:abstractNumId w:val="14"/>
  </w:num>
  <w:num w:numId="9">
    <w:abstractNumId w:val="15"/>
  </w:num>
  <w:num w:numId="10">
    <w:abstractNumId w:val="7"/>
  </w:num>
  <w:num w:numId="11">
    <w:abstractNumId w:val="17"/>
  </w:num>
  <w:num w:numId="12">
    <w:abstractNumId w:val="24"/>
  </w:num>
  <w:num w:numId="13">
    <w:abstractNumId w:val="6"/>
  </w:num>
  <w:num w:numId="14">
    <w:abstractNumId w:val="4"/>
  </w:num>
  <w:num w:numId="15">
    <w:abstractNumId w:val="30"/>
  </w:num>
  <w:num w:numId="16">
    <w:abstractNumId w:val="9"/>
  </w:num>
  <w:num w:numId="17">
    <w:abstractNumId w:val="20"/>
  </w:num>
  <w:num w:numId="18">
    <w:abstractNumId w:val="27"/>
  </w:num>
  <w:num w:numId="19">
    <w:abstractNumId w:val="29"/>
  </w:num>
  <w:num w:numId="20">
    <w:abstractNumId w:val="12"/>
  </w:num>
  <w:num w:numId="21">
    <w:abstractNumId w:val="26"/>
  </w:num>
  <w:num w:numId="22">
    <w:abstractNumId w:val="11"/>
  </w:num>
  <w:num w:numId="23">
    <w:abstractNumId w:val="23"/>
  </w:num>
  <w:num w:numId="24">
    <w:abstractNumId w:val="21"/>
  </w:num>
  <w:num w:numId="25">
    <w:abstractNumId w:val="5"/>
  </w:num>
  <w:num w:numId="26">
    <w:abstractNumId w:val="16"/>
  </w:num>
  <w:num w:numId="27">
    <w:abstractNumId w:val="19"/>
  </w:num>
  <w:num w:numId="28">
    <w:abstractNumId w:val="0"/>
  </w:num>
  <w:num w:numId="29">
    <w:abstractNumId w:val="3"/>
  </w:num>
  <w:num w:numId="30">
    <w:abstractNumId w:val="25"/>
  </w:num>
  <w:num w:numId="31">
    <w:abstractNumId w:val="2"/>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64E99"/>
    <w:rsid w:val="00183CC8"/>
    <w:rsid w:val="00187E9B"/>
    <w:rsid w:val="001927C2"/>
    <w:rsid w:val="001A4DCD"/>
    <w:rsid w:val="00203092"/>
    <w:rsid w:val="002208C0"/>
    <w:rsid w:val="00224C06"/>
    <w:rsid w:val="00252FAB"/>
    <w:rsid w:val="0025687C"/>
    <w:rsid w:val="00274A48"/>
    <w:rsid w:val="00291CCC"/>
    <w:rsid w:val="002A6415"/>
    <w:rsid w:val="002B7B7C"/>
    <w:rsid w:val="002C7EF6"/>
    <w:rsid w:val="002F31B0"/>
    <w:rsid w:val="002F4756"/>
    <w:rsid w:val="00302509"/>
    <w:rsid w:val="003049C5"/>
    <w:rsid w:val="00340C00"/>
    <w:rsid w:val="003702D1"/>
    <w:rsid w:val="00373FAD"/>
    <w:rsid w:val="003777B5"/>
    <w:rsid w:val="003832E7"/>
    <w:rsid w:val="003A20A0"/>
    <w:rsid w:val="003A58B0"/>
    <w:rsid w:val="00412DC6"/>
    <w:rsid w:val="004377B0"/>
    <w:rsid w:val="00472C81"/>
    <w:rsid w:val="00475032"/>
    <w:rsid w:val="004859EF"/>
    <w:rsid w:val="005164F5"/>
    <w:rsid w:val="0052560F"/>
    <w:rsid w:val="005666F2"/>
    <w:rsid w:val="00572064"/>
    <w:rsid w:val="00584369"/>
    <w:rsid w:val="00587A35"/>
    <w:rsid w:val="005C38F4"/>
    <w:rsid w:val="005F4693"/>
    <w:rsid w:val="005F7706"/>
    <w:rsid w:val="0064279A"/>
    <w:rsid w:val="006444EF"/>
    <w:rsid w:val="006A5D23"/>
    <w:rsid w:val="006E3D58"/>
    <w:rsid w:val="00704EE5"/>
    <w:rsid w:val="007066E2"/>
    <w:rsid w:val="00722640"/>
    <w:rsid w:val="0073197E"/>
    <w:rsid w:val="00746080"/>
    <w:rsid w:val="00772B57"/>
    <w:rsid w:val="00781D04"/>
    <w:rsid w:val="007C2D45"/>
    <w:rsid w:val="007F49EB"/>
    <w:rsid w:val="00812C1B"/>
    <w:rsid w:val="00835AD0"/>
    <w:rsid w:val="008747B3"/>
    <w:rsid w:val="00880100"/>
    <w:rsid w:val="008926F0"/>
    <w:rsid w:val="008964E8"/>
    <w:rsid w:val="008A48F6"/>
    <w:rsid w:val="008D1159"/>
    <w:rsid w:val="008E6045"/>
    <w:rsid w:val="008F38C3"/>
    <w:rsid w:val="0090113B"/>
    <w:rsid w:val="0093258A"/>
    <w:rsid w:val="0094373C"/>
    <w:rsid w:val="00946DEE"/>
    <w:rsid w:val="00951E2B"/>
    <w:rsid w:val="00952939"/>
    <w:rsid w:val="00961EA0"/>
    <w:rsid w:val="009664E8"/>
    <w:rsid w:val="009A5C44"/>
    <w:rsid w:val="009B03AF"/>
    <w:rsid w:val="009C4216"/>
    <w:rsid w:val="009D5F4B"/>
    <w:rsid w:val="009E3579"/>
    <w:rsid w:val="009E626E"/>
    <w:rsid w:val="009E7CBF"/>
    <w:rsid w:val="00A07077"/>
    <w:rsid w:val="00A516B0"/>
    <w:rsid w:val="00A5620A"/>
    <w:rsid w:val="00AA06D9"/>
    <w:rsid w:val="00AC2406"/>
    <w:rsid w:val="00AD3FCF"/>
    <w:rsid w:val="00AF2E0F"/>
    <w:rsid w:val="00B03802"/>
    <w:rsid w:val="00B069AA"/>
    <w:rsid w:val="00B23A36"/>
    <w:rsid w:val="00B23C62"/>
    <w:rsid w:val="00B25576"/>
    <w:rsid w:val="00B25EF5"/>
    <w:rsid w:val="00B379EF"/>
    <w:rsid w:val="00B50EB2"/>
    <w:rsid w:val="00B6722A"/>
    <w:rsid w:val="00B82D78"/>
    <w:rsid w:val="00BA434C"/>
    <w:rsid w:val="00BD4F65"/>
    <w:rsid w:val="00C06F9E"/>
    <w:rsid w:val="00C13E6B"/>
    <w:rsid w:val="00C2370B"/>
    <w:rsid w:val="00C624D5"/>
    <w:rsid w:val="00C848A0"/>
    <w:rsid w:val="00C878C5"/>
    <w:rsid w:val="00C96AEA"/>
    <w:rsid w:val="00CC0B6D"/>
    <w:rsid w:val="00CE1CD3"/>
    <w:rsid w:val="00CE4F01"/>
    <w:rsid w:val="00D55546"/>
    <w:rsid w:val="00D6213C"/>
    <w:rsid w:val="00D647C0"/>
    <w:rsid w:val="00D748ED"/>
    <w:rsid w:val="00D77694"/>
    <w:rsid w:val="00D77B0F"/>
    <w:rsid w:val="00DB6B52"/>
    <w:rsid w:val="00DE5488"/>
    <w:rsid w:val="00DE75AC"/>
    <w:rsid w:val="00DF5A52"/>
    <w:rsid w:val="00E17C58"/>
    <w:rsid w:val="00E231C2"/>
    <w:rsid w:val="00E429DA"/>
    <w:rsid w:val="00E45650"/>
    <w:rsid w:val="00E62C2A"/>
    <w:rsid w:val="00E8586E"/>
    <w:rsid w:val="00E96A06"/>
    <w:rsid w:val="00EA0919"/>
    <w:rsid w:val="00EB5240"/>
    <w:rsid w:val="00EC0B55"/>
    <w:rsid w:val="00F034BF"/>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1BD1"/>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444EF"/>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85EB-59F7-42BD-A738-D726F2F1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Kelli Benincasa</cp:lastModifiedBy>
  <cp:revision>15</cp:revision>
  <cp:lastPrinted>2014-09-29T14:43:00Z</cp:lastPrinted>
  <dcterms:created xsi:type="dcterms:W3CDTF">2017-12-07T15:26:00Z</dcterms:created>
  <dcterms:modified xsi:type="dcterms:W3CDTF">2017-12-15T14:58:00Z</dcterms:modified>
</cp:coreProperties>
</file>