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75F" w:rsidRPr="00DA475F" w:rsidRDefault="00DA475F" w:rsidP="00DA475F">
      <w:pPr>
        <w:jc w:val="center"/>
        <w:rPr>
          <w:rFonts w:ascii="Arial" w:hAnsi="Arial" w:cs="Arial"/>
          <w:b/>
          <w:sz w:val="24"/>
          <w:szCs w:val="24"/>
        </w:rPr>
      </w:pPr>
      <w:r w:rsidRPr="00DA475F">
        <w:rPr>
          <w:rFonts w:ascii="Arial" w:hAnsi="Arial" w:cs="Arial"/>
          <w:b/>
          <w:sz w:val="24"/>
          <w:szCs w:val="24"/>
        </w:rPr>
        <w:t>Hearst Power (EB-2017-0046)</w:t>
      </w:r>
    </w:p>
    <w:p w:rsidR="00DA475F" w:rsidRPr="00DA475F" w:rsidRDefault="00DA475F" w:rsidP="00DA475F">
      <w:pPr>
        <w:jc w:val="center"/>
        <w:rPr>
          <w:rFonts w:ascii="Arial" w:hAnsi="Arial" w:cs="Arial"/>
          <w:b/>
          <w:sz w:val="24"/>
          <w:szCs w:val="24"/>
        </w:rPr>
      </w:pPr>
      <w:r w:rsidRPr="00DA475F">
        <w:rPr>
          <w:rFonts w:ascii="Arial" w:hAnsi="Arial" w:cs="Arial"/>
          <w:b/>
          <w:sz w:val="24"/>
          <w:szCs w:val="24"/>
        </w:rPr>
        <w:t>GA Analysis Follow-Up Questions</w:t>
      </w:r>
    </w:p>
    <w:p w:rsidR="00DA475F" w:rsidRDefault="00DA475F" w:rsidP="00DA475F">
      <w:pPr>
        <w:pStyle w:val="ListParagraph"/>
        <w:rPr>
          <w:rFonts w:ascii="Arial" w:hAnsi="Arial" w:cs="Arial"/>
          <w:sz w:val="24"/>
          <w:szCs w:val="24"/>
        </w:rPr>
      </w:pPr>
    </w:p>
    <w:p w:rsidR="009C7E65" w:rsidRDefault="009C7E65" w:rsidP="009C7E65">
      <w:pPr>
        <w:pStyle w:val="ListParagraph"/>
        <w:numPr>
          <w:ilvl w:val="0"/>
          <w:numId w:val="3"/>
        </w:numPr>
        <w:rPr>
          <w:rFonts w:ascii="Arial" w:hAnsi="Arial" w:cs="Arial"/>
          <w:sz w:val="24"/>
          <w:szCs w:val="24"/>
        </w:rPr>
      </w:pPr>
      <w:r w:rsidRPr="00672E00">
        <w:rPr>
          <w:rFonts w:ascii="Arial" w:hAnsi="Arial" w:cs="Arial"/>
          <w:sz w:val="24"/>
          <w:szCs w:val="24"/>
        </w:rPr>
        <w:t>In regards to actual system losses, please provide the actual system loss factor for 2016 and compare it to the OEB approved loss factor?  Please also provide calculation that quantifies the GA impact of the difference in the loss factor.</w:t>
      </w:r>
    </w:p>
    <w:p w:rsidR="00CA129D" w:rsidRDefault="00CA129D" w:rsidP="00CA129D">
      <w:pPr>
        <w:pStyle w:val="ListParagraph"/>
        <w:rPr>
          <w:rFonts w:ascii="Arial" w:hAnsi="Arial" w:cs="Arial"/>
          <w:sz w:val="24"/>
          <w:szCs w:val="24"/>
        </w:rPr>
      </w:pPr>
    </w:p>
    <w:p w:rsidR="00EC1192" w:rsidRPr="00EC1192" w:rsidRDefault="00EC1192" w:rsidP="00CA129D">
      <w:pPr>
        <w:pStyle w:val="ListParagraph"/>
        <w:rPr>
          <w:rFonts w:ascii="Arial" w:hAnsi="Arial" w:cs="Arial"/>
          <w:color w:val="4472C4" w:themeColor="accent5"/>
          <w:sz w:val="24"/>
          <w:szCs w:val="24"/>
          <w:u w:val="single"/>
        </w:rPr>
      </w:pPr>
      <w:r w:rsidRPr="00EC1192">
        <w:rPr>
          <w:rFonts w:ascii="Arial" w:hAnsi="Arial" w:cs="Arial"/>
          <w:color w:val="4472C4" w:themeColor="accent5"/>
          <w:sz w:val="24"/>
          <w:szCs w:val="24"/>
          <w:u w:val="single"/>
        </w:rPr>
        <w:t>Actual:</w:t>
      </w:r>
    </w:p>
    <w:p w:rsidR="00762CA3" w:rsidRDefault="00CA129D" w:rsidP="00CA129D">
      <w:pPr>
        <w:pStyle w:val="ListParagraph"/>
        <w:rPr>
          <w:rFonts w:ascii="Arial" w:hAnsi="Arial" w:cs="Arial"/>
          <w:color w:val="4472C4" w:themeColor="accent5"/>
          <w:sz w:val="24"/>
          <w:szCs w:val="24"/>
        </w:rPr>
      </w:pPr>
      <w:r w:rsidRPr="00CA129D">
        <w:rPr>
          <w:rFonts w:ascii="Arial" w:hAnsi="Arial" w:cs="Arial"/>
          <w:color w:val="4472C4" w:themeColor="accent5"/>
          <w:sz w:val="24"/>
          <w:szCs w:val="24"/>
        </w:rPr>
        <w:t>2016</w:t>
      </w:r>
      <w:r w:rsidR="00762CA3">
        <w:rPr>
          <w:rFonts w:ascii="Arial" w:hAnsi="Arial" w:cs="Arial"/>
          <w:color w:val="4472C4" w:themeColor="accent5"/>
          <w:sz w:val="24"/>
          <w:szCs w:val="24"/>
        </w:rPr>
        <w:t xml:space="preserve"> power purchased (actual) = 82,299,883 kWh (A)</w:t>
      </w:r>
    </w:p>
    <w:p w:rsidR="00762CA3" w:rsidRDefault="00762CA3" w:rsidP="00CA129D">
      <w:pPr>
        <w:pStyle w:val="ListParagraph"/>
        <w:rPr>
          <w:rFonts w:ascii="Arial" w:hAnsi="Arial" w:cs="Arial"/>
          <w:color w:val="4472C4" w:themeColor="accent5"/>
          <w:sz w:val="24"/>
          <w:szCs w:val="24"/>
        </w:rPr>
      </w:pPr>
      <w:r>
        <w:rPr>
          <w:rFonts w:ascii="Arial" w:hAnsi="Arial" w:cs="Arial"/>
          <w:color w:val="4472C4" w:themeColor="accent5"/>
          <w:sz w:val="24"/>
          <w:szCs w:val="24"/>
        </w:rPr>
        <w:t>2016 consumption billed (actual) = 79,493,037 kWh (B)</w:t>
      </w:r>
    </w:p>
    <w:p w:rsidR="00762CA3" w:rsidRDefault="00762CA3" w:rsidP="00CA129D">
      <w:pPr>
        <w:pStyle w:val="ListParagraph"/>
        <w:rPr>
          <w:rFonts w:ascii="Arial" w:hAnsi="Arial" w:cs="Arial"/>
          <w:color w:val="4472C4" w:themeColor="accent5"/>
          <w:sz w:val="24"/>
          <w:szCs w:val="24"/>
        </w:rPr>
      </w:pPr>
      <w:r>
        <w:rPr>
          <w:rFonts w:ascii="Arial" w:hAnsi="Arial" w:cs="Arial"/>
          <w:color w:val="4472C4" w:themeColor="accent5"/>
          <w:sz w:val="24"/>
          <w:szCs w:val="24"/>
        </w:rPr>
        <w:t>2016</w:t>
      </w:r>
      <w:r w:rsidR="00CA129D" w:rsidRPr="00CA129D">
        <w:rPr>
          <w:rFonts w:ascii="Arial" w:hAnsi="Arial" w:cs="Arial"/>
          <w:color w:val="4472C4" w:themeColor="accent5"/>
          <w:sz w:val="24"/>
          <w:szCs w:val="24"/>
        </w:rPr>
        <w:t xml:space="preserve"> total system loss</w:t>
      </w:r>
      <w:r>
        <w:rPr>
          <w:rFonts w:ascii="Arial" w:hAnsi="Arial" w:cs="Arial"/>
          <w:color w:val="4472C4" w:themeColor="accent5"/>
          <w:sz w:val="24"/>
          <w:szCs w:val="24"/>
        </w:rPr>
        <w:t xml:space="preserve"> = 2,806,845 kWh (C)</w:t>
      </w:r>
      <w:r w:rsidR="00CA129D" w:rsidRPr="00CA129D">
        <w:rPr>
          <w:rFonts w:ascii="Arial" w:hAnsi="Arial" w:cs="Arial"/>
          <w:color w:val="4472C4" w:themeColor="accent5"/>
          <w:sz w:val="24"/>
          <w:szCs w:val="24"/>
        </w:rPr>
        <w:t xml:space="preserve"> </w:t>
      </w:r>
    </w:p>
    <w:p w:rsidR="00CA129D" w:rsidRDefault="00762CA3" w:rsidP="00CA129D">
      <w:pPr>
        <w:pStyle w:val="ListParagraph"/>
        <w:rPr>
          <w:rFonts w:ascii="Arial" w:hAnsi="Arial" w:cs="Arial"/>
          <w:color w:val="4472C4" w:themeColor="accent5"/>
          <w:sz w:val="24"/>
          <w:szCs w:val="24"/>
        </w:rPr>
      </w:pPr>
      <w:r>
        <w:rPr>
          <w:rFonts w:ascii="Arial" w:hAnsi="Arial" w:cs="Arial"/>
          <w:color w:val="4472C4" w:themeColor="accent5"/>
          <w:sz w:val="24"/>
          <w:szCs w:val="24"/>
        </w:rPr>
        <w:t xml:space="preserve">2016 total system loss % (C / A) </w:t>
      </w:r>
      <w:r w:rsidR="00CA129D" w:rsidRPr="00CA129D">
        <w:rPr>
          <w:rFonts w:ascii="Arial" w:hAnsi="Arial" w:cs="Arial"/>
          <w:color w:val="4472C4" w:themeColor="accent5"/>
          <w:sz w:val="24"/>
          <w:szCs w:val="24"/>
        </w:rPr>
        <w:t>= 3.41</w:t>
      </w:r>
      <w:r w:rsidR="00A63949">
        <w:rPr>
          <w:rFonts w:ascii="Arial" w:hAnsi="Arial" w:cs="Arial"/>
          <w:color w:val="4472C4" w:themeColor="accent5"/>
          <w:sz w:val="24"/>
          <w:szCs w:val="24"/>
        </w:rPr>
        <w:t>1</w:t>
      </w:r>
      <w:r w:rsidR="00CA129D" w:rsidRPr="00CA129D">
        <w:rPr>
          <w:rFonts w:ascii="Arial" w:hAnsi="Arial" w:cs="Arial"/>
          <w:color w:val="4472C4" w:themeColor="accent5"/>
          <w:sz w:val="24"/>
          <w:szCs w:val="24"/>
        </w:rPr>
        <w:t>%</w:t>
      </w:r>
    </w:p>
    <w:p w:rsidR="00762CA3" w:rsidRPr="00CA129D" w:rsidRDefault="00762CA3" w:rsidP="00CA129D">
      <w:pPr>
        <w:pStyle w:val="ListParagraph"/>
        <w:rPr>
          <w:rFonts w:ascii="Arial" w:hAnsi="Arial" w:cs="Arial"/>
          <w:color w:val="4472C4" w:themeColor="accent5"/>
          <w:sz w:val="24"/>
          <w:szCs w:val="24"/>
        </w:rPr>
      </w:pPr>
    </w:p>
    <w:p w:rsidR="00EC1192" w:rsidRPr="00EC1192" w:rsidRDefault="00EC1192" w:rsidP="00CA129D">
      <w:pPr>
        <w:pStyle w:val="ListParagraph"/>
        <w:rPr>
          <w:rFonts w:ascii="Arial" w:hAnsi="Arial" w:cs="Arial"/>
          <w:color w:val="4472C4" w:themeColor="accent5"/>
          <w:sz w:val="24"/>
          <w:szCs w:val="24"/>
          <w:u w:val="single"/>
        </w:rPr>
      </w:pPr>
      <w:r w:rsidRPr="00EC1192">
        <w:rPr>
          <w:rFonts w:ascii="Arial" w:hAnsi="Arial" w:cs="Arial"/>
          <w:color w:val="4472C4" w:themeColor="accent5"/>
          <w:sz w:val="24"/>
          <w:szCs w:val="24"/>
          <w:u w:val="single"/>
        </w:rPr>
        <w:t>Approved:</w:t>
      </w:r>
    </w:p>
    <w:p w:rsidR="00CA129D" w:rsidRPr="00CA129D" w:rsidRDefault="00CA129D" w:rsidP="00CA129D">
      <w:pPr>
        <w:pStyle w:val="ListParagraph"/>
        <w:rPr>
          <w:rFonts w:ascii="Arial" w:hAnsi="Arial" w:cs="Arial"/>
          <w:color w:val="4472C4" w:themeColor="accent5"/>
          <w:sz w:val="24"/>
          <w:szCs w:val="24"/>
        </w:rPr>
      </w:pPr>
      <w:r w:rsidRPr="00CA129D">
        <w:rPr>
          <w:rFonts w:ascii="Arial" w:hAnsi="Arial" w:cs="Arial"/>
          <w:color w:val="4472C4" w:themeColor="accent5"/>
          <w:sz w:val="24"/>
          <w:szCs w:val="24"/>
        </w:rPr>
        <w:t xml:space="preserve">OEB approved (2015 COS) loss factor = </w:t>
      </w:r>
    </w:p>
    <w:p w:rsidR="00CA129D" w:rsidRPr="00CA129D" w:rsidRDefault="00CA129D" w:rsidP="00CA129D">
      <w:pPr>
        <w:pStyle w:val="ListParagraph"/>
        <w:numPr>
          <w:ilvl w:val="0"/>
          <w:numId w:val="6"/>
        </w:numPr>
        <w:rPr>
          <w:rFonts w:ascii="Arial" w:hAnsi="Arial" w:cs="Arial"/>
          <w:color w:val="4472C4" w:themeColor="accent5"/>
          <w:sz w:val="24"/>
          <w:szCs w:val="24"/>
        </w:rPr>
      </w:pPr>
      <w:r w:rsidRPr="00CA129D">
        <w:rPr>
          <w:rFonts w:ascii="Arial" w:hAnsi="Arial" w:cs="Arial"/>
          <w:color w:val="4472C4" w:themeColor="accent5"/>
          <w:sz w:val="24"/>
          <w:szCs w:val="24"/>
        </w:rPr>
        <w:t>4.14% for secondary metered</w:t>
      </w:r>
    </w:p>
    <w:p w:rsidR="00CA129D" w:rsidRPr="00CA129D" w:rsidRDefault="00CA129D" w:rsidP="00CA129D">
      <w:pPr>
        <w:pStyle w:val="ListParagraph"/>
        <w:numPr>
          <w:ilvl w:val="0"/>
          <w:numId w:val="6"/>
        </w:numPr>
        <w:rPr>
          <w:rFonts w:ascii="Arial" w:hAnsi="Arial" w:cs="Arial"/>
          <w:color w:val="4472C4" w:themeColor="accent5"/>
          <w:sz w:val="24"/>
          <w:szCs w:val="24"/>
        </w:rPr>
      </w:pPr>
      <w:r w:rsidRPr="00CA129D">
        <w:rPr>
          <w:rFonts w:ascii="Arial" w:hAnsi="Arial" w:cs="Arial"/>
          <w:color w:val="4472C4" w:themeColor="accent5"/>
          <w:sz w:val="24"/>
          <w:szCs w:val="24"/>
        </w:rPr>
        <w:t>3.10% for primary metered</w:t>
      </w:r>
    </w:p>
    <w:p w:rsidR="00CA129D" w:rsidRDefault="00762CA3" w:rsidP="00CA129D">
      <w:pPr>
        <w:ind w:left="720"/>
        <w:rPr>
          <w:rFonts w:ascii="Arial" w:hAnsi="Arial" w:cs="Arial"/>
          <w:color w:val="4472C4" w:themeColor="accent5"/>
          <w:sz w:val="24"/>
          <w:szCs w:val="24"/>
        </w:rPr>
      </w:pPr>
      <w:r>
        <w:rPr>
          <w:rFonts w:ascii="Arial" w:hAnsi="Arial" w:cs="Arial"/>
          <w:color w:val="4472C4" w:themeColor="accent5"/>
          <w:sz w:val="24"/>
          <w:szCs w:val="24"/>
        </w:rPr>
        <w:t>2016 Consumption billed</w:t>
      </w:r>
      <w:r w:rsidR="002C4D7C">
        <w:rPr>
          <w:rFonts w:ascii="Arial" w:hAnsi="Arial" w:cs="Arial"/>
          <w:color w:val="4472C4" w:themeColor="accent5"/>
          <w:sz w:val="24"/>
          <w:szCs w:val="24"/>
        </w:rPr>
        <w:t xml:space="preserve"> </w:t>
      </w:r>
      <w:r w:rsidR="00A63949">
        <w:rPr>
          <w:rFonts w:ascii="Arial" w:hAnsi="Arial" w:cs="Arial"/>
          <w:color w:val="4472C4" w:themeColor="accent5"/>
          <w:sz w:val="24"/>
          <w:szCs w:val="24"/>
        </w:rPr>
        <w:t xml:space="preserve">(actual) </w:t>
      </w:r>
      <w:r w:rsidR="002C4D7C">
        <w:rPr>
          <w:rFonts w:ascii="Arial" w:hAnsi="Arial" w:cs="Arial"/>
          <w:color w:val="4472C4" w:themeColor="accent5"/>
          <w:sz w:val="24"/>
          <w:szCs w:val="24"/>
        </w:rPr>
        <w:t>=</w:t>
      </w:r>
      <w:r w:rsidR="00A63949">
        <w:rPr>
          <w:rFonts w:ascii="Arial" w:hAnsi="Arial" w:cs="Arial"/>
          <w:color w:val="4472C4" w:themeColor="accent5"/>
          <w:sz w:val="24"/>
          <w:szCs w:val="24"/>
        </w:rPr>
        <w:t xml:space="preserve"> 79,493,037 kWh</w:t>
      </w:r>
    </w:p>
    <w:p w:rsidR="002C4D7C" w:rsidRDefault="00762CA3" w:rsidP="00CA129D">
      <w:pPr>
        <w:ind w:left="720"/>
        <w:rPr>
          <w:rFonts w:ascii="Arial" w:hAnsi="Arial" w:cs="Arial"/>
          <w:color w:val="4472C4" w:themeColor="accent5"/>
          <w:sz w:val="24"/>
          <w:szCs w:val="24"/>
        </w:rPr>
      </w:pPr>
      <w:r>
        <w:rPr>
          <w:rFonts w:ascii="Arial" w:hAnsi="Arial" w:cs="Arial"/>
          <w:color w:val="4472C4" w:themeColor="accent5"/>
          <w:sz w:val="24"/>
          <w:szCs w:val="24"/>
        </w:rPr>
        <w:t>Primary = 15,061,692</w:t>
      </w:r>
      <w:r w:rsidR="002C4D7C">
        <w:rPr>
          <w:rFonts w:ascii="Arial" w:hAnsi="Arial" w:cs="Arial"/>
          <w:color w:val="4472C4" w:themeColor="accent5"/>
          <w:sz w:val="24"/>
          <w:szCs w:val="24"/>
        </w:rPr>
        <w:t xml:space="preserve"> kWh</w:t>
      </w:r>
      <w:r>
        <w:rPr>
          <w:rFonts w:ascii="Arial" w:hAnsi="Arial" w:cs="Arial"/>
          <w:color w:val="4472C4" w:themeColor="accent5"/>
          <w:sz w:val="24"/>
          <w:szCs w:val="24"/>
        </w:rPr>
        <w:t xml:space="preserve"> x 3.10% = 466,912</w:t>
      </w:r>
      <w:r w:rsidR="00A63949">
        <w:rPr>
          <w:rFonts w:ascii="Arial" w:hAnsi="Arial" w:cs="Arial"/>
          <w:color w:val="4472C4" w:themeColor="accent5"/>
          <w:sz w:val="24"/>
          <w:szCs w:val="24"/>
        </w:rPr>
        <w:t xml:space="preserve"> kWh of loss billed</w:t>
      </w:r>
    </w:p>
    <w:p w:rsidR="002C4D7C" w:rsidRDefault="00762CA3" w:rsidP="00762CA3">
      <w:pPr>
        <w:ind w:left="720"/>
        <w:rPr>
          <w:rFonts w:ascii="Arial" w:hAnsi="Arial" w:cs="Arial"/>
          <w:color w:val="4472C4" w:themeColor="accent5"/>
          <w:sz w:val="24"/>
          <w:szCs w:val="24"/>
        </w:rPr>
      </w:pPr>
      <w:r>
        <w:rPr>
          <w:rFonts w:ascii="Arial" w:hAnsi="Arial" w:cs="Arial"/>
          <w:color w:val="4472C4" w:themeColor="accent5"/>
          <w:sz w:val="24"/>
          <w:szCs w:val="24"/>
        </w:rPr>
        <w:t>Secondary = 64,431,343</w:t>
      </w:r>
      <w:r w:rsidR="002C4D7C">
        <w:rPr>
          <w:rFonts w:ascii="Arial" w:hAnsi="Arial" w:cs="Arial"/>
          <w:color w:val="4472C4" w:themeColor="accent5"/>
          <w:sz w:val="24"/>
          <w:szCs w:val="24"/>
        </w:rPr>
        <w:t xml:space="preserve"> kWh</w:t>
      </w:r>
      <w:r w:rsidR="00A63949">
        <w:rPr>
          <w:rFonts w:ascii="Arial" w:hAnsi="Arial" w:cs="Arial"/>
          <w:color w:val="4472C4" w:themeColor="accent5"/>
          <w:sz w:val="24"/>
          <w:szCs w:val="24"/>
        </w:rPr>
        <w:t xml:space="preserve"> x 4.14% = </w:t>
      </w:r>
      <w:r>
        <w:rPr>
          <w:rFonts w:ascii="Arial" w:hAnsi="Arial" w:cs="Arial"/>
          <w:color w:val="4472C4" w:themeColor="accent5"/>
          <w:sz w:val="24"/>
          <w:szCs w:val="24"/>
        </w:rPr>
        <w:t>2,667,458</w:t>
      </w:r>
      <w:r w:rsidR="00A63949">
        <w:rPr>
          <w:rFonts w:ascii="Arial" w:hAnsi="Arial" w:cs="Arial"/>
          <w:color w:val="4472C4" w:themeColor="accent5"/>
          <w:sz w:val="24"/>
          <w:szCs w:val="24"/>
        </w:rPr>
        <w:t xml:space="preserve"> kWh of loss billed</w:t>
      </w:r>
    </w:p>
    <w:p w:rsidR="00A63949" w:rsidRDefault="00A63949" w:rsidP="00CA129D">
      <w:pPr>
        <w:ind w:left="720"/>
        <w:rPr>
          <w:rFonts w:ascii="Arial" w:hAnsi="Arial" w:cs="Arial"/>
          <w:color w:val="4472C4" w:themeColor="accent5"/>
          <w:sz w:val="24"/>
          <w:szCs w:val="24"/>
        </w:rPr>
      </w:pPr>
      <w:r>
        <w:rPr>
          <w:rFonts w:ascii="Arial" w:hAnsi="Arial" w:cs="Arial"/>
          <w:color w:val="4472C4" w:themeColor="accent5"/>
          <w:sz w:val="24"/>
          <w:szCs w:val="24"/>
        </w:rPr>
        <w:t>Total 2016 loss billed (actual) = 3,</w:t>
      </w:r>
      <w:r w:rsidR="00762CA3">
        <w:rPr>
          <w:rFonts w:ascii="Arial" w:hAnsi="Arial" w:cs="Arial"/>
          <w:color w:val="4472C4" w:themeColor="accent5"/>
          <w:sz w:val="24"/>
          <w:szCs w:val="24"/>
        </w:rPr>
        <w:t>134,370</w:t>
      </w:r>
      <w:r>
        <w:rPr>
          <w:rFonts w:ascii="Arial" w:hAnsi="Arial" w:cs="Arial"/>
          <w:color w:val="4472C4" w:themeColor="accent5"/>
          <w:sz w:val="24"/>
          <w:szCs w:val="24"/>
        </w:rPr>
        <w:t xml:space="preserve"> kWh</w:t>
      </w:r>
      <w:r w:rsidR="00EC1192">
        <w:rPr>
          <w:rFonts w:ascii="Arial" w:hAnsi="Arial" w:cs="Arial"/>
          <w:color w:val="4472C4" w:themeColor="accent5"/>
          <w:sz w:val="24"/>
          <w:szCs w:val="24"/>
        </w:rPr>
        <w:t xml:space="preserve"> (D)</w:t>
      </w:r>
    </w:p>
    <w:p w:rsidR="00A63949" w:rsidRDefault="00A63949" w:rsidP="00CA129D">
      <w:pPr>
        <w:ind w:left="720"/>
        <w:rPr>
          <w:rFonts w:ascii="Arial" w:hAnsi="Arial" w:cs="Arial"/>
          <w:color w:val="4472C4" w:themeColor="accent5"/>
          <w:sz w:val="24"/>
          <w:szCs w:val="24"/>
        </w:rPr>
      </w:pPr>
    </w:p>
    <w:p w:rsidR="00EC1192" w:rsidRPr="00EC1192" w:rsidRDefault="00EC1192" w:rsidP="00CA129D">
      <w:pPr>
        <w:ind w:left="720"/>
        <w:rPr>
          <w:rFonts w:ascii="Arial" w:hAnsi="Arial" w:cs="Arial"/>
          <w:color w:val="4472C4" w:themeColor="accent5"/>
          <w:sz w:val="24"/>
          <w:szCs w:val="24"/>
          <w:u w:val="single"/>
        </w:rPr>
      </w:pPr>
      <w:r w:rsidRPr="00EC1192">
        <w:rPr>
          <w:rFonts w:ascii="Arial" w:hAnsi="Arial" w:cs="Arial"/>
          <w:color w:val="4472C4" w:themeColor="accent5"/>
          <w:sz w:val="24"/>
          <w:szCs w:val="24"/>
          <w:u w:val="single"/>
        </w:rPr>
        <w:t>Impact of difference:</w:t>
      </w:r>
    </w:p>
    <w:p w:rsidR="00A63949" w:rsidRDefault="00EC1192" w:rsidP="00CA129D">
      <w:pPr>
        <w:ind w:left="720"/>
        <w:rPr>
          <w:rFonts w:ascii="Arial" w:hAnsi="Arial" w:cs="Arial"/>
          <w:color w:val="4472C4" w:themeColor="accent5"/>
          <w:sz w:val="24"/>
          <w:szCs w:val="24"/>
        </w:rPr>
      </w:pPr>
      <w:r>
        <w:rPr>
          <w:rFonts w:ascii="Arial" w:hAnsi="Arial" w:cs="Arial"/>
          <w:color w:val="4472C4" w:themeColor="accent5"/>
          <w:sz w:val="24"/>
          <w:szCs w:val="24"/>
        </w:rPr>
        <w:t xml:space="preserve">2016 </w:t>
      </w:r>
      <w:r w:rsidR="00762CA3">
        <w:rPr>
          <w:rFonts w:ascii="Arial" w:hAnsi="Arial" w:cs="Arial"/>
          <w:color w:val="4472C4" w:themeColor="accent5"/>
          <w:sz w:val="24"/>
          <w:szCs w:val="24"/>
        </w:rPr>
        <w:t xml:space="preserve">Difference in </w:t>
      </w:r>
      <w:r>
        <w:rPr>
          <w:rFonts w:ascii="Arial" w:hAnsi="Arial" w:cs="Arial"/>
          <w:color w:val="4472C4" w:themeColor="accent5"/>
          <w:sz w:val="24"/>
          <w:szCs w:val="24"/>
        </w:rPr>
        <w:t>loss billed</w:t>
      </w:r>
      <w:r w:rsidR="00A63949">
        <w:rPr>
          <w:rFonts w:ascii="Arial" w:hAnsi="Arial" w:cs="Arial"/>
          <w:color w:val="4472C4" w:themeColor="accent5"/>
          <w:sz w:val="24"/>
          <w:szCs w:val="24"/>
        </w:rPr>
        <w:t xml:space="preserve"> </w:t>
      </w:r>
      <w:r>
        <w:rPr>
          <w:rFonts w:ascii="Arial" w:hAnsi="Arial" w:cs="Arial"/>
          <w:color w:val="4472C4" w:themeColor="accent5"/>
          <w:sz w:val="24"/>
          <w:szCs w:val="24"/>
        </w:rPr>
        <w:t xml:space="preserve">(D – C) </w:t>
      </w:r>
      <w:r w:rsidR="00A63949">
        <w:rPr>
          <w:rFonts w:ascii="Arial" w:hAnsi="Arial" w:cs="Arial"/>
          <w:color w:val="4472C4" w:themeColor="accent5"/>
          <w:sz w:val="24"/>
          <w:szCs w:val="24"/>
        </w:rPr>
        <w:t xml:space="preserve">= </w:t>
      </w:r>
      <w:r>
        <w:rPr>
          <w:rFonts w:ascii="Arial" w:hAnsi="Arial" w:cs="Arial"/>
          <w:color w:val="4472C4" w:themeColor="accent5"/>
          <w:sz w:val="24"/>
          <w:szCs w:val="24"/>
        </w:rPr>
        <w:t>327,525 kWh (E)</w:t>
      </w:r>
    </w:p>
    <w:p w:rsidR="00EC1192" w:rsidRDefault="00EC1192" w:rsidP="00CA129D">
      <w:pPr>
        <w:ind w:left="720"/>
        <w:rPr>
          <w:rFonts w:ascii="Arial" w:hAnsi="Arial" w:cs="Arial"/>
          <w:color w:val="4472C4" w:themeColor="accent5"/>
          <w:sz w:val="24"/>
          <w:szCs w:val="24"/>
        </w:rPr>
      </w:pPr>
      <w:r>
        <w:rPr>
          <w:rFonts w:ascii="Arial" w:hAnsi="Arial" w:cs="Arial"/>
          <w:color w:val="4472C4" w:themeColor="accent5"/>
          <w:sz w:val="24"/>
          <w:szCs w:val="24"/>
        </w:rPr>
        <w:t>2016 monthly GA cost average (12 months) = 0.09754$ / kWh (F)</w:t>
      </w:r>
    </w:p>
    <w:p w:rsidR="00EC1192" w:rsidRPr="00CA129D" w:rsidRDefault="00EC1192" w:rsidP="00CA129D">
      <w:pPr>
        <w:ind w:left="720"/>
        <w:rPr>
          <w:rFonts w:ascii="Arial" w:hAnsi="Arial" w:cs="Arial"/>
          <w:color w:val="4472C4" w:themeColor="accent5"/>
          <w:sz w:val="24"/>
          <w:szCs w:val="24"/>
        </w:rPr>
      </w:pPr>
      <w:r>
        <w:rPr>
          <w:rFonts w:ascii="Arial" w:hAnsi="Arial" w:cs="Arial"/>
          <w:color w:val="4472C4" w:themeColor="accent5"/>
          <w:sz w:val="24"/>
          <w:szCs w:val="24"/>
        </w:rPr>
        <w:t>Estimate difference in dollar value (E x F) = 31,946.79$</w:t>
      </w:r>
    </w:p>
    <w:p w:rsidR="009C7E65" w:rsidRPr="00672E00" w:rsidRDefault="009C7E65" w:rsidP="009C7E65">
      <w:pPr>
        <w:rPr>
          <w:rFonts w:ascii="Arial" w:hAnsi="Arial" w:cs="Arial"/>
          <w:sz w:val="24"/>
          <w:szCs w:val="24"/>
        </w:rPr>
      </w:pPr>
    </w:p>
    <w:p w:rsidR="009C7E65" w:rsidRDefault="009C7E65" w:rsidP="009C7E65">
      <w:pPr>
        <w:pStyle w:val="ListParagraph"/>
        <w:numPr>
          <w:ilvl w:val="0"/>
          <w:numId w:val="3"/>
        </w:numPr>
        <w:rPr>
          <w:rFonts w:ascii="Arial" w:hAnsi="Arial" w:cs="Arial"/>
          <w:sz w:val="24"/>
          <w:szCs w:val="24"/>
        </w:rPr>
      </w:pPr>
      <w:r w:rsidRPr="00672E00">
        <w:rPr>
          <w:rFonts w:ascii="Arial" w:hAnsi="Arial" w:cs="Arial"/>
          <w:sz w:val="24"/>
          <w:szCs w:val="24"/>
        </w:rPr>
        <w:t xml:space="preserve">Please provide the total GA amounts billed to non-RPP customers in 2016 as recorded in the applicant’s revenue G/L accounts for 2016. </w:t>
      </w:r>
      <w:r w:rsidRPr="00672E00">
        <w:rPr>
          <w:rFonts w:ascii="Arial" w:hAnsi="Arial" w:cs="Arial"/>
          <w:sz w:val="24"/>
          <w:szCs w:val="24"/>
        </w:rPr>
        <w:tab/>
      </w:r>
    </w:p>
    <w:p w:rsidR="00CA129D" w:rsidRDefault="00CA129D" w:rsidP="00CA129D">
      <w:pPr>
        <w:pStyle w:val="ListParagraph"/>
        <w:rPr>
          <w:rFonts w:ascii="Arial" w:hAnsi="Arial" w:cs="Arial"/>
          <w:sz w:val="24"/>
          <w:szCs w:val="24"/>
        </w:rPr>
      </w:pPr>
    </w:p>
    <w:p w:rsidR="00CA129D" w:rsidRPr="00CA129D" w:rsidRDefault="00CA129D" w:rsidP="00CA129D">
      <w:pPr>
        <w:pStyle w:val="ListParagraph"/>
        <w:rPr>
          <w:rFonts w:ascii="Arial" w:hAnsi="Arial" w:cs="Arial"/>
          <w:color w:val="4472C4" w:themeColor="accent5"/>
          <w:sz w:val="24"/>
          <w:szCs w:val="24"/>
          <w:u w:val="single"/>
        </w:rPr>
      </w:pPr>
      <w:r w:rsidRPr="00CA129D">
        <w:rPr>
          <w:rFonts w:ascii="Arial" w:hAnsi="Arial" w:cs="Arial"/>
          <w:color w:val="4472C4" w:themeColor="accent5"/>
          <w:sz w:val="24"/>
          <w:szCs w:val="24"/>
          <w:u w:val="single"/>
        </w:rPr>
        <w:t>2016</w:t>
      </w:r>
    </w:p>
    <w:p w:rsidR="00CA129D" w:rsidRPr="00CA129D" w:rsidRDefault="00CA129D" w:rsidP="00CA129D">
      <w:pPr>
        <w:pStyle w:val="ListParagraph"/>
        <w:rPr>
          <w:rFonts w:ascii="Arial" w:hAnsi="Arial" w:cs="Arial"/>
          <w:color w:val="4472C4" w:themeColor="accent5"/>
          <w:sz w:val="24"/>
          <w:szCs w:val="24"/>
        </w:rPr>
      </w:pPr>
      <w:r w:rsidRPr="00CA129D">
        <w:rPr>
          <w:rFonts w:ascii="Arial" w:hAnsi="Arial" w:cs="Arial"/>
          <w:color w:val="4472C4" w:themeColor="accent5"/>
          <w:sz w:val="24"/>
          <w:szCs w:val="24"/>
        </w:rPr>
        <w:t>Total Non-RPP GA billed (actuals, not as per invoice date) = $4,577,389.07*</w:t>
      </w:r>
    </w:p>
    <w:p w:rsidR="00CA129D" w:rsidRPr="00CA129D" w:rsidRDefault="00CA129D" w:rsidP="00CA129D">
      <w:pPr>
        <w:pStyle w:val="ListParagraph"/>
        <w:rPr>
          <w:rFonts w:ascii="Arial" w:hAnsi="Arial" w:cs="Arial"/>
          <w:color w:val="4472C4" w:themeColor="accent5"/>
          <w:sz w:val="24"/>
          <w:szCs w:val="24"/>
        </w:rPr>
      </w:pPr>
      <w:r w:rsidRPr="00CA129D">
        <w:rPr>
          <w:rFonts w:ascii="Arial" w:hAnsi="Arial" w:cs="Arial"/>
          <w:color w:val="4472C4" w:themeColor="accent5"/>
          <w:sz w:val="24"/>
          <w:szCs w:val="24"/>
        </w:rPr>
        <w:t>Year-end transfer to RSVA account 1589 = - $29,417.45</w:t>
      </w:r>
    </w:p>
    <w:p w:rsidR="00CA129D" w:rsidRPr="00CA129D" w:rsidRDefault="00CA129D" w:rsidP="00CA129D">
      <w:pPr>
        <w:pStyle w:val="ListParagraph"/>
        <w:rPr>
          <w:rFonts w:ascii="Arial" w:hAnsi="Arial" w:cs="Arial"/>
          <w:color w:val="4472C4" w:themeColor="accent5"/>
          <w:sz w:val="24"/>
          <w:szCs w:val="24"/>
        </w:rPr>
      </w:pPr>
      <w:r w:rsidRPr="00CA129D">
        <w:rPr>
          <w:rFonts w:ascii="Arial" w:hAnsi="Arial" w:cs="Arial"/>
          <w:color w:val="4472C4" w:themeColor="accent5"/>
          <w:sz w:val="24"/>
          <w:szCs w:val="24"/>
        </w:rPr>
        <w:t>Total Non-RPP GA in G/L account for 2016 = $4,547,971.62</w:t>
      </w:r>
    </w:p>
    <w:p w:rsidR="00CA129D" w:rsidRPr="00CA129D" w:rsidRDefault="00CA129D" w:rsidP="00CA129D">
      <w:pPr>
        <w:pStyle w:val="ListParagraph"/>
        <w:spacing w:after="0"/>
        <w:rPr>
          <w:rFonts w:ascii="Arial" w:hAnsi="Arial" w:cs="Arial"/>
          <w:color w:val="4472C4" w:themeColor="accent5"/>
          <w:sz w:val="24"/>
          <w:szCs w:val="24"/>
        </w:rPr>
      </w:pPr>
    </w:p>
    <w:p w:rsidR="00CA129D" w:rsidRPr="00CA129D" w:rsidRDefault="00CA129D" w:rsidP="00CA129D">
      <w:pPr>
        <w:ind w:left="720"/>
        <w:rPr>
          <w:rFonts w:ascii="Arial" w:hAnsi="Arial" w:cs="Arial"/>
          <w:color w:val="4472C4" w:themeColor="accent5"/>
          <w:sz w:val="24"/>
          <w:szCs w:val="24"/>
        </w:rPr>
      </w:pPr>
      <w:r w:rsidRPr="00CA129D">
        <w:rPr>
          <w:rFonts w:ascii="Arial" w:hAnsi="Arial" w:cs="Arial"/>
          <w:color w:val="4472C4" w:themeColor="accent5"/>
          <w:sz w:val="24"/>
          <w:szCs w:val="24"/>
        </w:rPr>
        <w:t>* Includes billing for long term load transfer agreements</w:t>
      </w:r>
      <w:bookmarkStart w:id="0" w:name="_GoBack"/>
      <w:bookmarkEnd w:id="0"/>
    </w:p>
    <w:p w:rsidR="009C7E65" w:rsidRPr="00672E00" w:rsidRDefault="009C7E65" w:rsidP="009C7E65">
      <w:pPr>
        <w:rPr>
          <w:rFonts w:ascii="Arial" w:hAnsi="Arial" w:cs="Arial"/>
          <w:sz w:val="24"/>
          <w:szCs w:val="24"/>
        </w:rPr>
      </w:pPr>
    </w:p>
    <w:p w:rsidR="009C7E65" w:rsidRDefault="009C7E65" w:rsidP="00672E00">
      <w:pPr>
        <w:ind w:left="720" w:hanging="450"/>
        <w:rPr>
          <w:rFonts w:ascii="Arial" w:hAnsi="Arial" w:cs="Arial"/>
          <w:sz w:val="24"/>
          <w:szCs w:val="24"/>
        </w:rPr>
      </w:pPr>
      <w:r w:rsidRPr="00672E00">
        <w:rPr>
          <w:rFonts w:ascii="Arial" w:hAnsi="Arial" w:cs="Arial"/>
          <w:sz w:val="24"/>
          <w:szCs w:val="24"/>
        </w:rPr>
        <w:t>3a)</w:t>
      </w:r>
      <w:r w:rsidRPr="00672E00">
        <w:rPr>
          <w:rFonts w:ascii="Arial" w:hAnsi="Arial" w:cs="Arial"/>
          <w:sz w:val="24"/>
          <w:szCs w:val="24"/>
        </w:rPr>
        <w:tab/>
        <w:t xml:space="preserve">How does the applicant determine the RPP/non-RPP proration for charge type148.  </w:t>
      </w:r>
    </w:p>
    <w:p w:rsidR="002C4D7C" w:rsidRDefault="002C4D7C" w:rsidP="00672E00">
      <w:pPr>
        <w:ind w:left="720" w:hanging="450"/>
        <w:rPr>
          <w:rFonts w:ascii="Arial" w:hAnsi="Arial" w:cs="Arial"/>
          <w:color w:val="4472C4" w:themeColor="accent5"/>
          <w:sz w:val="24"/>
          <w:szCs w:val="24"/>
        </w:rPr>
      </w:pPr>
      <w:r>
        <w:rPr>
          <w:rFonts w:ascii="Arial" w:hAnsi="Arial" w:cs="Arial"/>
          <w:sz w:val="24"/>
          <w:szCs w:val="24"/>
        </w:rPr>
        <w:tab/>
      </w:r>
      <w:r>
        <w:rPr>
          <w:rFonts w:ascii="Arial" w:hAnsi="Arial" w:cs="Arial"/>
          <w:color w:val="4472C4" w:themeColor="accent5"/>
          <w:sz w:val="24"/>
          <w:szCs w:val="24"/>
        </w:rPr>
        <w:t>After each month end, the GA statistics reports (from our internal billing system) are printed for the monthly billing cycle.  We then add the kWh, including the loss for all non-RPP customers bill codes.  For verification, we multiply the total non-RPP kWh (loss included) with the GA rate used for billing.  The total dollar amount should be the same as the Dollar amount on the statistics reports</w:t>
      </w:r>
    </w:p>
    <w:p w:rsidR="002C4D7C" w:rsidRDefault="002C4D7C" w:rsidP="00672E00">
      <w:pPr>
        <w:ind w:left="720" w:hanging="450"/>
        <w:rPr>
          <w:rFonts w:ascii="Arial" w:hAnsi="Arial" w:cs="Arial"/>
          <w:color w:val="4472C4" w:themeColor="accent5"/>
          <w:sz w:val="24"/>
          <w:szCs w:val="24"/>
        </w:rPr>
      </w:pPr>
    </w:p>
    <w:p w:rsidR="002C4D7C" w:rsidRDefault="002C4D7C" w:rsidP="00672E00">
      <w:pPr>
        <w:ind w:left="720" w:hanging="450"/>
        <w:rPr>
          <w:rFonts w:ascii="Arial" w:hAnsi="Arial" w:cs="Arial"/>
          <w:color w:val="4472C4" w:themeColor="accent5"/>
          <w:sz w:val="24"/>
          <w:szCs w:val="24"/>
        </w:rPr>
      </w:pPr>
      <w:r>
        <w:rPr>
          <w:rFonts w:ascii="Arial" w:hAnsi="Arial" w:cs="Arial"/>
          <w:color w:val="4472C4" w:themeColor="accent5"/>
          <w:sz w:val="24"/>
          <w:szCs w:val="24"/>
        </w:rPr>
        <w:lastRenderedPageBreak/>
        <w:tab/>
        <w:t>To determine the RPP portion of kWh, the non-RPP kWh consumption (loss included) is deducted from the total kWh billed (loss included).</w:t>
      </w:r>
    </w:p>
    <w:p w:rsidR="002C4D7C" w:rsidRDefault="002C4D7C" w:rsidP="00672E00">
      <w:pPr>
        <w:ind w:left="720" w:hanging="450"/>
        <w:rPr>
          <w:rFonts w:ascii="Arial" w:hAnsi="Arial" w:cs="Arial"/>
          <w:color w:val="4472C4" w:themeColor="accent5"/>
          <w:sz w:val="24"/>
          <w:szCs w:val="24"/>
        </w:rPr>
      </w:pPr>
    </w:p>
    <w:p w:rsidR="002C4D7C" w:rsidRDefault="002C4D7C" w:rsidP="00672E00">
      <w:pPr>
        <w:ind w:left="720" w:hanging="450"/>
        <w:rPr>
          <w:rFonts w:ascii="Arial" w:hAnsi="Arial" w:cs="Arial"/>
          <w:color w:val="4472C4" w:themeColor="accent5"/>
          <w:sz w:val="24"/>
          <w:szCs w:val="24"/>
        </w:rPr>
      </w:pPr>
      <w:r>
        <w:rPr>
          <w:rFonts w:ascii="Arial" w:hAnsi="Arial" w:cs="Arial"/>
          <w:color w:val="4472C4" w:themeColor="accent5"/>
          <w:sz w:val="24"/>
          <w:szCs w:val="24"/>
        </w:rPr>
        <w:tab/>
        <w:t>To determine the non-RPP and RPP portions of the charge 148, we multiply the consumption (kWh, loss included) for non-RPP by the rate charged by the IESO.  We then deduct the non-RPP cost from the Total GA charges from the IESO and Hydro One invoices.  The difference would be the RPP portion of GA transferred to Power.  The GL entry would be debit Power (account #4705) and credit GA (account #4707).</w:t>
      </w:r>
    </w:p>
    <w:p w:rsidR="002C4D7C" w:rsidRPr="002C4D7C" w:rsidRDefault="002C4D7C" w:rsidP="00672E00">
      <w:pPr>
        <w:ind w:left="720" w:hanging="450"/>
        <w:rPr>
          <w:rFonts w:ascii="Arial" w:hAnsi="Arial" w:cs="Arial"/>
          <w:color w:val="4472C4" w:themeColor="accent5"/>
          <w:sz w:val="24"/>
          <w:szCs w:val="24"/>
        </w:rPr>
      </w:pPr>
    </w:p>
    <w:p w:rsidR="009C7E65" w:rsidRDefault="009C7E65" w:rsidP="009C7E65">
      <w:pPr>
        <w:pStyle w:val="ListParagraph"/>
        <w:numPr>
          <w:ilvl w:val="0"/>
          <w:numId w:val="1"/>
        </w:numPr>
        <w:spacing w:after="0" w:line="240" w:lineRule="auto"/>
        <w:rPr>
          <w:rFonts w:ascii="Arial" w:hAnsi="Arial" w:cs="Arial"/>
          <w:sz w:val="24"/>
          <w:szCs w:val="24"/>
        </w:rPr>
      </w:pPr>
      <w:r w:rsidRPr="00672E00">
        <w:rPr>
          <w:rFonts w:ascii="Arial" w:hAnsi="Arial" w:cs="Arial"/>
          <w:sz w:val="24"/>
          <w:szCs w:val="24"/>
        </w:rPr>
        <w:t>In the initial IESO settlement done on the fourth business day of the following month, is the RPP/non-RPP proration based on estimated billing information?</w:t>
      </w:r>
    </w:p>
    <w:p w:rsidR="00CA129D" w:rsidRDefault="00CA129D" w:rsidP="00CA129D">
      <w:pPr>
        <w:pStyle w:val="ListParagraph"/>
        <w:spacing w:after="0" w:line="240" w:lineRule="auto"/>
        <w:rPr>
          <w:rFonts w:ascii="Arial" w:hAnsi="Arial" w:cs="Arial"/>
          <w:color w:val="4472C4" w:themeColor="accent5"/>
          <w:sz w:val="24"/>
          <w:szCs w:val="24"/>
        </w:rPr>
      </w:pPr>
      <w:r w:rsidRPr="00CA129D">
        <w:rPr>
          <w:rFonts w:ascii="Arial" w:hAnsi="Arial" w:cs="Arial"/>
          <w:color w:val="4472C4" w:themeColor="accent5"/>
          <w:sz w:val="24"/>
          <w:szCs w:val="24"/>
        </w:rPr>
        <w:t>Yes</w:t>
      </w:r>
    </w:p>
    <w:p w:rsidR="00CA129D" w:rsidRPr="00CA129D" w:rsidRDefault="00CA129D" w:rsidP="00CA129D">
      <w:pPr>
        <w:pStyle w:val="ListParagraph"/>
        <w:spacing w:after="0" w:line="240" w:lineRule="auto"/>
        <w:rPr>
          <w:rFonts w:ascii="Arial" w:hAnsi="Arial" w:cs="Arial"/>
          <w:color w:val="4472C4" w:themeColor="accent5"/>
          <w:sz w:val="24"/>
          <w:szCs w:val="24"/>
        </w:rPr>
      </w:pPr>
    </w:p>
    <w:p w:rsidR="009C7E65" w:rsidRDefault="009C7E65" w:rsidP="009C7E65">
      <w:pPr>
        <w:pStyle w:val="ListParagraph"/>
        <w:numPr>
          <w:ilvl w:val="0"/>
          <w:numId w:val="1"/>
        </w:numPr>
        <w:spacing w:after="0" w:line="240" w:lineRule="auto"/>
        <w:rPr>
          <w:rFonts w:ascii="Arial" w:hAnsi="Arial" w:cs="Arial"/>
          <w:sz w:val="24"/>
          <w:szCs w:val="24"/>
        </w:rPr>
      </w:pPr>
      <w:r w:rsidRPr="00672E00">
        <w:rPr>
          <w:rFonts w:ascii="Arial" w:hAnsi="Arial" w:cs="Arial"/>
          <w:sz w:val="24"/>
          <w:szCs w:val="24"/>
        </w:rPr>
        <w:t>When does the estimated RPP/non-RPP split get trued-up to actual (include the period in which the final data needed to do the true-up is known) and how does this true-up get reflected in the balance being brought forward for disposition?</w:t>
      </w:r>
    </w:p>
    <w:p w:rsidR="00CA129D" w:rsidRDefault="00CA129D" w:rsidP="00CA129D">
      <w:pPr>
        <w:pStyle w:val="ListParagraph"/>
        <w:spacing w:after="0" w:line="240" w:lineRule="auto"/>
        <w:rPr>
          <w:rFonts w:ascii="Arial" w:hAnsi="Arial" w:cs="Arial"/>
          <w:color w:val="4472C4" w:themeColor="accent5"/>
          <w:sz w:val="24"/>
          <w:szCs w:val="24"/>
        </w:rPr>
      </w:pPr>
      <w:r w:rsidRPr="00CA129D">
        <w:rPr>
          <w:rFonts w:ascii="Arial" w:hAnsi="Arial" w:cs="Arial"/>
          <w:color w:val="4472C4" w:themeColor="accent5"/>
          <w:sz w:val="24"/>
          <w:szCs w:val="24"/>
        </w:rPr>
        <w:t>True-up is done every month</w:t>
      </w:r>
      <w:r>
        <w:rPr>
          <w:rFonts w:ascii="Arial" w:hAnsi="Arial" w:cs="Arial"/>
          <w:color w:val="4472C4" w:themeColor="accent5"/>
          <w:sz w:val="24"/>
          <w:szCs w:val="24"/>
        </w:rPr>
        <w:t xml:space="preserve"> and since we are requesting GA disposal after true-up is completed, no further adjustments are required.</w:t>
      </w:r>
    </w:p>
    <w:p w:rsidR="00CA129D" w:rsidRPr="00CA129D" w:rsidRDefault="00CA129D" w:rsidP="00CA129D">
      <w:pPr>
        <w:pStyle w:val="ListParagraph"/>
        <w:spacing w:after="0" w:line="240" w:lineRule="auto"/>
        <w:rPr>
          <w:rFonts w:ascii="Arial" w:hAnsi="Arial" w:cs="Arial"/>
          <w:color w:val="4472C4" w:themeColor="accent5"/>
          <w:sz w:val="24"/>
          <w:szCs w:val="24"/>
        </w:rPr>
      </w:pPr>
    </w:p>
    <w:p w:rsidR="009C7E65" w:rsidRDefault="009C7E65" w:rsidP="009C7E65">
      <w:pPr>
        <w:pStyle w:val="ListParagraph"/>
        <w:numPr>
          <w:ilvl w:val="0"/>
          <w:numId w:val="1"/>
        </w:numPr>
        <w:spacing w:after="0" w:line="240" w:lineRule="auto"/>
        <w:rPr>
          <w:rFonts w:ascii="Arial" w:hAnsi="Arial" w:cs="Arial"/>
          <w:sz w:val="24"/>
          <w:szCs w:val="24"/>
        </w:rPr>
      </w:pPr>
      <w:r w:rsidRPr="00672E00">
        <w:rPr>
          <w:rFonts w:ascii="Arial" w:hAnsi="Arial" w:cs="Arial"/>
          <w:sz w:val="24"/>
          <w:szCs w:val="24"/>
        </w:rPr>
        <w:t xml:space="preserve">How long are the books kept open </w:t>
      </w:r>
      <w:proofErr w:type="gramStart"/>
      <w:r w:rsidRPr="00672E00">
        <w:rPr>
          <w:rFonts w:ascii="Arial" w:hAnsi="Arial" w:cs="Arial"/>
          <w:sz w:val="24"/>
          <w:szCs w:val="24"/>
        </w:rPr>
        <w:t>in order to</w:t>
      </w:r>
      <w:proofErr w:type="gramEnd"/>
      <w:r w:rsidRPr="00672E00">
        <w:rPr>
          <w:rFonts w:ascii="Arial" w:hAnsi="Arial" w:cs="Arial"/>
          <w:sz w:val="24"/>
          <w:szCs w:val="24"/>
        </w:rPr>
        <w:t xml:space="preserve"> capture all of the required</w:t>
      </w:r>
      <w:r w:rsidR="00672E00">
        <w:rPr>
          <w:rFonts w:ascii="Arial" w:hAnsi="Arial" w:cs="Arial"/>
          <w:sz w:val="24"/>
          <w:szCs w:val="24"/>
        </w:rPr>
        <w:t xml:space="preserve"> year-end</w:t>
      </w:r>
      <w:r w:rsidRPr="00672E00">
        <w:rPr>
          <w:rFonts w:ascii="Arial" w:hAnsi="Arial" w:cs="Arial"/>
          <w:sz w:val="24"/>
          <w:szCs w:val="24"/>
        </w:rPr>
        <w:t xml:space="preserve"> GA true-up adjustments.</w:t>
      </w:r>
    </w:p>
    <w:p w:rsidR="00CA129D" w:rsidRPr="00CA129D" w:rsidRDefault="00CA129D" w:rsidP="00CA129D">
      <w:pPr>
        <w:pStyle w:val="ListParagraph"/>
        <w:spacing w:after="0" w:line="240" w:lineRule="auto"/>
        <w:rPr>
          <w:rFonts w:ascii="Arial" w:hAnsi="Arial" w:cs="Arial"/>
          <w:color w:val="4472C4" w:themeColor="accent5"/>
          <w:sz w:val="24"/>
          <w:szCs w:val="24"/>
        </w:rPr>
      </w:pPr>
      <w:r>
        <w:rPr>
          <w:rFonts w:ascii="Arial" w:hAnsi="Arial" w:cs="Arial"/>
          <w:color w:val="4472C4" w:themeColor="accent5"/>
          <w:sz w:val="24"/>
          <w:szCs w:val="24"/>
        </w:rPr>
        <w:t>Accounting firm make final verification and our book are closed 3 to 4</w:t>
      </w:r>
      <w:r w:rsidRPr="00CA129D">
        <w:rPr>
          <w:rFonts w:ascii="Arial" w:hAnsi="Arial" w:cs="Arial"/>
          <w:color w:val="4472C4" w:themeColor="accent5"/>
          <w:sz w:val="24"/>
          <w:szCs w:val="24"/>
        </w:rPr>
        <w:t xml:space="preserve"> months</w:t>
      </w:r>
      <w:r>
        <w:rPr>
          <w:rFonts w:ascii="Arial" w:hAnsi="Arial" w:cs="Arial"/>
          <w:color w:val="4472C4" w:themeColor="accent5"/>
          <w:sz w:val="24"/>
          <w:szCs w:val="24"/>
        </w:rPr>
        <w:t xml:space="preserve"> after year end</w:t>
      </w:r>
      <w:r w:rsidR="002C4D7C">
        <w:rPr>
          <w:rFonts w:ascii="Arial" w:hAnsi="Arial" w:cs="Arial"/>
          <w:color w:val="4472C4" w:themeColor="accent5"/>
          <w:sz w:val="24"/>
          <w:szCs w:val="24"/>
        </w:rPr>
        <w:t>.</w:t>
      </w:r>
    </w:p>
    <w:p w:rsidR="009C7E65" w:rsidRPr="00672E00" w:rsidRDefault="009C7E65" w:rsidP="009C7E65">
      <w:pPr>
        <w:rPr>
          <w:rFonts w:ascii="Arial" w:hAnsi="Arial" w:cs="Arial"/>
          <w:sz w:val="24"/>
          <w:szCs w:val="24"/>
        </w:rPr>
      </w:pPr>
    </w:p>
    <w:p w:rsidR="002C4D7C" w:rsidRDefault="00672E00" w:rsidP="002C4D7C">
      <w:pPr>
        <w:pStyle w:val="ListParagraph"/>
        <w:numPr>
          <w:ilvl w:val="0"/>
          <w:numId w:val="4"/>
        </w:numPr>
        <w:rPr>
          <w:rFonts w:ascii="Arial" w:hAnsi="Arial" w:cs="Arial"/>
          <w:sz w:val="24"/>
          <w:szCs w:val="24"/>
        </w:rPr>
      </w:pPr>
      <w:r w:rsidRPr="00672E00">
        <w:rPr>
          <w:rFonts w:ascii="Arial" w:hAnsi="Arial" w:cs="Arial"/>
          <w:sz w:val="24"/>
          <w:szCs w:val="24"/>
        </w:rPr>
        <w:t>In its narrative on the Global Adjustments Process, the applicant has indicated it had no class A customers as at December 31, 2016.  Please confirm that the applicant did not have any class A customers at any point during 2016.  If the applicant did have a class A customer at some point during 2016, please indicate how the</w:t>
      </w:r>
      <w:r w:rsidR="009C7E65" w:rsidRPr="00672E00">
        <w:rPr>
          <w:rFonts w:ascii="Arial" w:hAnsi="Arial" w:cs="Arial"/>
          <w:sz w:val="24"/>
          <w:szCs w:val="24"/>
        </w:rPr>
        <w:t xml:space="preserve"> GA balances associated with</w:t>
      </w:r>
      <w:r w:rsidRPr="00672E00">
        <w:rPr>
          <w:rFonts w:ascii="Arial" w:hAnsi="Arial" w:cs="Arial"/>
          <w:sz w:val="24"/>
          <w:szCs w:val="24"/>
        </w:rPr>
        <w:t xml:space="preserve"> the</w:t>
      </w:r>
      <w:r w:rsidR="009C7E65" w:rsidRPr="00672E00">
        <w:rPr>
          <w:rFonts w:ascii="Arial" w:hAnsi="Arial" w:cs="Arial"/>
          <w:sz w:val="24"/>
          <w:szCs w:val="24"/>
        </w:rPr>
        <w:t xml:space="preserve"> class A customers</w:t>
      </w:r>
      <w:r w:rsidRPr="00672E00">
        <w:rPr>
          <w:rFonts w:ascii="Arial" w:hAnsi="Arial" w:cs="Arial"/>
          <w:sz w:val="24"/>
          <w:szCs w:val="24"/>
        </w:rPr>
        <w:t xml:space="preserve"> are</w:t>
      </w:r>
      <w:r w:rsidR="009C7E65" w:rsidRPr="00672E00">
        <w:rPr>
          <w:rFonts w:ascii="Arial" w:hAnsi="Arial" w:cs="Arial"/>
          <w:sz w:val="24"/>
          <w:szCs w:val="24"/>
        </w:rPr>
        <w:t xml:space="preserve"> being settled? </w:t>
      </w:r>
      <w:r w:rsidR="009C7E65" w:rsidRPr="002C4D7C">
        <w:rPr>
          <w:rFonts w:ascii="Arial" w:hAnsi="Arial" w:cs="Arial"/>
          <w:sz w:val="24"/>
          <w:szCs w:val="24"/>
        </w:rPr>
        <w:t>Does t</w:t>
      </w:r>
      <w:r w:rsidRPr="002C4D7C">
        <w:rPr>
          <w:rFonts w:ascii="Arial" w:hAnsi="Arial" w:cs="Arial"/>
          <w:sz w:val="24"/>
          <w:szCs w:val="24"/>
        </w:rPr>
        <w:t>he balance in account 1589</w:t>
      </w:r>
      <w:r w:rsidR="009C7E65" w:rsidRPr="002C4D7C">
        <w:rPr>
          <w:rFonts w:ascii="Arial" w:hAnsi="Arial" w:cs="Arial"/>
          <w:sz w:val="24"/>
          <w:szCs w:val="24"/>
        </w:rPr>
        <w:t xml:space="preserve"> include GA balances pertaining to class A customers?</w:t>
      </w:r>
    </w:p>
    <w:p w:rsidR="009C7E65" w:rsidRPr="002C4D7C" w:rsidRDefault="002C4D7C" w:rsidP="002C4D7C">
      <w:pPr>
        <w:pStyle w:val="ListParagraph"/>
        <w:rPr>
          <w:rFonts w:ascii="Arial" w:hAnsi="Arial" w:cs="Arial"/>
          <w:color w:val="4472C4" w:themeColor="accent5"/>
          <w:sz w:val="24"/>
          <w:szCs w:val="24"/>
        </w:rPr>
      </w:pPr>
      <w:r w:rsidRPr="002C4D7C">
        <w:rPr>
          <w:rFonts w:ascii="Arial" w:hAnsi="Arial" w:cs="Arial"/>
          <w:color w:val="4472C4" w:themeColor="accent5"/>
          <w:sz w:val="24"/>
          <w:szCs w:val="24"/>
        </w:rPr>
        <w:t>Confirmed.  There were no Class A customers in 2016.</w:t>
      </w:r>
    </w:p>
    <w:p w:rsidR="002C4D7C" w:rsidRPr="002C4D7C" w:rsidRDefault="002C4D7C" w:rsidP="002C4D7C">
      <w:pPr>
        <w:ind w:left="360"/>
        <w:rPr>
          <w:rFonts w:ascii="Arial" w:hAnsi="Arial" w:cs="Arial"/>
          <w:sz w:val="24"/>
          <w:szCs w:val="24"/>
        </w:rPr>
      </w:pPr>
    </w:p>
    <w:p w:rsidR="009C7E65" w:rsidRDefault="009C7E65" w:rsidP="009C7E65">
      <w:pPr>
        <w:rPr>
          <w:rFonts w:asciiTheme="minorHAnsi" w:hAnsiTheme="minorHAnsi" w:cstheme="minorBidi"/>
        </w:rPr>
      </w:pPr>
    </w:p>
    <w:p w:rsidR="009C7E65" w:rsidRDefault="009C7E65" w:rsidP="009C7E65">
      <w:pPr>
        <w:rPr>
          <w:color w:val="1F497D"/>
        </w:rPr>
      </w:pPr>
    </w:p>
    <w:p w:rsidR="0002696F" w:rsidRDefault="00EC1192"/>
    <w:sectPr w:rsidR="00026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57228"/>
    <w:multiLevelType w:val="hybridMultilevel"/>
    <w:tmpl w:val="8E7A83C8"/>
    <w:lvl w:ilvl="0" w:tplc="484601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16A3D"/>
    <w:multiLevelType w:val="hybridMultilevel"/>
    <w:tmpl w:val="EAF445DC"/>
    <w:lvl w:ilvl="0" w:tplc="7ED8C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952B3"/>
    <w:multiLevelType w:val="hybridMultilevel"/>
    <w:tmpl w:val="E014F7A6"/>
    <w:lvl w:ilvl="0" w:tplc="3CB67CC4">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1B65A54"/>
    <w:multiLevelType w:val="hybridMultilevel"/>
    <w:tmpl w:val="3860050A"/>
    <w:lvl w:ilvl="0" w:tplc="8BDCFC26">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C26E64"/>
    <w:multiLevelType w:val="hybridMultilevel"/>
    <w:tmpl w:val="C65C2940"/>
    <w:lvl w:ilvl="0" w:tplc="01E64C5C">
      <w:numFmt w:val="bullet"/>
      <w:lvlText w:val=""/>
      <w:lvlJc w:val="left"/>
      <w:pPr>
        <w:ind w:left="1080" w:hanging="360"/>
      </w:pPr>
      <w:rPr>
        <w:rFonts w:ascii="Symbol" w:eastAsiaTheme="minorHAnsi"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F073149"/>
    <w:multiLevelType w:val="hybridMultilevel"/>
    <w:tmpl w:val="CFEC3AB2"/>
    <w:lvl w:ilvl="0" w:tplc="01E64C5C">
      <w:numFmt w:val="bullet"/>
      <w:lvlText w:val=""/>
      <w:lvlJc w:val="left"/>
      <w:pPr>
        <w:ind w:left="1800" w:hanging="360"/>
      </w:pPr>
      <w:rPr>
        <w:rFonts w:ascii="Symbol" w:eastAsiaTheme="minorHAnsi" w:hAnsi="Symbo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65"/>
    <w:rsid w:val="00002AC9"/>
    <w:rsid w:val="002C4D7C"/>
    <w:rsid w:val="00672E00"/>
    <w:rsid w:val="00762CA3"/>
    <w:rsid w:val="009C7E65"/>
    <w:rsid w:val="00A63949"/>
    <w:rsid w:val="00CA129D"/>
    <w:rsid w:val="00DA475F"/>
    <w:rsid w:val="00EC1192"/>
    <w:rsid w:val="00F8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B5DC"/>
  <w15:chartTrackingRefBased/>
  <w15:docId w15:val="{D394B993-2047-4468-8A2D-6785F5D4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E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E65"/>
    <w:pPr>
      <w:spacing w:after="160" w:line="252"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23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Jessy Richard</cp:lastModifiedBy>
  <cp:revision>2</cp:revision>
  <dcterms:created xsi:type="dcterms:W3CDTF">2017-11-13T20:04:00Z</dcterms:created>
  <dcterms:modified xsi:type="dcterms:W3CDTF">2017-11-13T20:04:00Z</dcterms:modified>
</cp:coreProperties>
</file>