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C9C58" w14:textId="77777777" w:rsidR="001B4A4E" w:rsidRPr="00417D17" w:rsidRDefault="001B4A4E" w:rsidP="001B4A4E">
      <w:pPr>
        <w:spacing w:line="276" w:lineRule="auto"/>
        <w:jc w:val="center"/>
        <w:rPr>
          <w:rFonts w:ascii="Arial" w:hAnsi="Arial" w:cs="Arial"/>
          <w:b/>
          <w:sz w:val="24"/>
          <w:szCs w:val="24"/>
        </w:rPr>
      </w:pPr>
      <w:r w:rsidRPr="00417D17">
        <w:rPr>
          <w:rFonts w:ascii="Arial" w:hAnsi="Arial" w:cs="Arial"/>
          <w:b/>
          <w:sz w:val="24"/>
          <w:szCs w:val="24"/>
        </w:rPr>
        <w:t xml:space="preserve">Thunder Bay Hydro Electricity Distribution Inc. Price Cap IR Application (EB-2017-0075) </w:t>
      </w:r>
    </w:p>
    <w:p w14:paraId="1916CC70" w14:textId="77777777" w:rsidR="001B4A4E" w:rsidRPr="00417D17" w:rsidRDefault="001B4A4E" w:rsidP="001B4A4E">
      <w:pPr>
        <w:spacing w:line="276" w:lineRule="auto"/>
        <w:jc w:val="center"/>
        <w:rPr>
          <w:rFonts w:ascii="Arial" w:hAnsi="Arial" w:cs="Arial"/>
          <w:b/>
          <w:sz w:val="24"/>
          <w:szCs w:val="24"/>
        </w:rPr>
      </w:pPr>
      <w:r w:rsidRPr="00417D17">
        <w:rPr>
          <w:rFonts w:ascii="Arial" w:hAnsi="Arial" w:cs="Arial"/>
          <w:b/>
          <w:sz w:val="24"/>
          <w:szCs w:val="24"/>
        </w:rPr>
        <w:t>OEB Staff Questions</w:t>
      </w:r>
    </w:p>
    <w:p w14:paraId="1AADB0D1" w14:textId="77777777" w:rsidR="00554234" w:rsidRPr="00417D17" w:rsidRDefault="00554234" w:rsidP="00554234">
      <w:pPr>
        <w:rPr>
          <w:rFonts w:ascii="Arial" w:hAnsi="Arial" w:cs="Arial"/>
          <w:b/>
          <w:bCs/>
        </w:rPr>
      </w:pPr>
    </w:p>
    <w:p w14:paraId="14650A62" w14:textId="77777777" w:rsidR="001B4A4E" w:rsidRPr="00417D17" w:rsidRDefault="001B4A4E" w:rsidP="00554234">
      <w:pPr>
        <w:rPr>
          <w:rFonts w:ascii="Arial" w:hAnsi="Arial" w:cs="Arial"/>
          <w:b/>
          <w:bCs/>
          <w:sz w:val="24"/>
          <w:szCs w:val="24"/>
        </w:rPr>
      </w:pPr>
    </w:p>
    <w:p w14:paraId="034C1DE2" w14:textId="77777777" w:rsidR="001B4A4E" w:rsidRPr="00417D17" w:rsidRDefault="001B4A4E" w:rsidP="001B4A4E">
      <w:pPr>
        <w:spacing w:after="160" w:line="259" w:lineRule="auto"/>
        <w:rPr>
          <w:rFonts w:ascii="Arial" w:hAnsi="Arial" w:cs="Arial"/>
          <w:b/>
          <w:sz w:val="24"/>
        </w:rPr>
      </w:pPr>
      <w:r w:rsidRPr="00417D17">
        <w:rPr>
          <w:rFonts w:ascii="Arial" w:hAnsi="Arial" w:cs="Arial"/>
          <w:b/>
          <w:sz w:val="24"/>
        </w:rPr>
        <w:t>Question #</w:t>
      </w:r>
      <w:r w:rsidR="00417D17" w:rsidRPr="00417D17">
        <w:rPr>
          <w:rFonts w:ascii="Arial" w:hAnsi="Arial" w:cs="Arial"/>
          <w:b/>
          <w:sz w:val="24"/>
        </w:rPr>
        <w:t>1</w:t>
      </w:r>
    </w:p>
    <w:p w14:paraId="1A231722" w14:textId="77777777" w:rsidR="001B4A4E" w:rsidRPr="00417D17" w:rsidRDefault="00DA4D17" w:rsidP="00D2405E">
      <w:pPr>
        <w:spacing w:after="160" w:line="276" w:lineRule="auto"/>
        <w:rPr>
          <w:rFonts w:ascii="Arial" w:hAnsi="Arial" w:cs="Arial"/>
          <w:b/>
          <w:sz w:val="24"/>
        </w:rPr>
      </w:pPr>
      <w:r w:rsidRPr="00417D17">
        <w:rPr>
          <w:rFonts w:ascii="Arial" w:hAnsi="Arial" w:cs="Arial"/>
          <w:b/>
          <w:sz w:val="24"/>
        </w:rPr>
        <w:t>References: GA Analysis Workform</w:t>
      </w:r>
    </w:p>
    <w:p w14:paraId="4F3B3763" w14:textId="77777777" w:rsidR="001B4A4E" w:rsidRPr="00417D17" w:rsidRDefault="0042732D" w:rsidP="00D2405E">
      <w:pPr>
        <w:spacing w:after="160" w:line="276" w:lineRule="auto"/>
        <w:rPr>
          <w:rFonts w:ascii="Arial" w:hAnsi="Arial" w:cs="Arial"/>
          <w:sz w:val="24"/>
        </w:rPr>
      </w:pPr>
      <w:r w:rsidRPr="00417D17">
        <w:rPr>
          <w:rFonts w:ascii="Arial" w:hAnsi="Arial" w:cs="Arial"/>
          <w:sz w:val="24"/>
        </w:rPr>
        <w:t xml:space="preserve">Thunder Bay Hydro has indicated in the GA Analysis Workform that it does not bill its customers on a calendar month basis. </w:t>
      </w:r>
      <w:r w:rsidR="001B4A4E" w:rsidRPr="00417D17">
        <w:rPr>
          <w:rFonts w:ascii="Arial" w:hAnsi="Arial" w:cs="Arial"/>
          <w:sz w:val="24"/>
        </w:rPr>
        <w:t xml:space="preserve">In Note 4 of the GA Analysis Workform, the previous and current month unbilled loss adjusted consumption (kWh) has not been provided. </w:t>
      </w:r>
    </w:p>
    <w:p w14:paraId="2DC8BF1C" w14:textId="77777777" w:rsidR="001B4A4E" w:rsidRPr="00417D17" w:rsidRDefault="001B4A4E" w:rsidP="00D2405E">
      <w:pPr>
        <w:pStyle w:val="ListParagraph"/>
        <w:numPr>
          <w:ilvl w:val="1"/>
          <w:numId w:val="5"/>
        </w:numPr>
        <w:spacing w:after="160"/>
        <w:ind w:left="720"/>
        <w:rPr>
          <w:rFonts w:ascii="Arial" w:hAnsi="Arial" w:cs="Arial"/>
          <w:sz w:val="24"/>
        </w:rPr>
      </w:pPr>
      <w:r w:rsidRPr="00417D17">
        <w:rPr>
          <w:rFonts w:ascii="Arial" w:hAnsi="Arial" w:cs="Arial"/>
          <w:sz w:val="24"/>
        </w:rPr>
        <w:t>Please confirm whether the consumption amount entered in column F was the actual consumption for the given calendar month</w:t>
      </w:r>
      <w:r w:rsidR="0042732D" w:rsidRPr="00417D17">
        <w:rPr>
          <w:rFonts w:ascii="Arial" w:hAnsi="Arial" w:cs="Arial"/>
          <w:sz w:val="24"/>
        </w:rPr>
        <w:t xml:space="preserve"> or the billed consumption</w:t>
      </w:r>
      <w:r w:rsidRPr="00417D17">
        <w:rPr>
          <w:rFonts w:ascii="Arial" w:hAnsi="Arial" w:cs="Arial"/>
          <w:sz w:val="24"/>
        </w:rPr>
        <w:t>.</w:t>
      </w:r>
    </w:p>
    <w:p w14:paraId="09586F77" w14:textId="77777777" w:rsidR="0042732D" w:rsidRPr="00417D17" w:rsidRDefault="0042732D" w:rsidP="00D2405E">
      <w:pPr>
        <w:pStyle w:val="ListParagraph"/>
        <w:numPr>
          <w:ilvl w:val="1"/>
          <w:numId w:val="5"/>
        </w:numPr>
        <w:spacing w:after="160"/>
        <w:ind w:left="720"/>
        <w:rPr>
          <w:rFonts w:ascii="Arial" w:hAnsi="Arial" w:cs="Arial"/>
          <w:sz w:val="24"/>
        </w:rPr>
      </w:pPr>
      <w:r w:rsidRPr="00417D17">
        <w:rPr>
          <w:rFonts w:ascii="Arial" w:hAnsi="Arial" w:cs="Arial"/>
          <w:sz w:val="24"/>
        </w:rPr>
        <w:t>If the consumption entered in column F was the actual consumption for the given calendar month, please provide support for how the monthly quantities were derived.</w:t>
      </w:r>
    </w:p>
    <w:p w14:paraId="20B8D6FD" w14:textId="77777777" w:rsidR="001B4A4E" w:rsidRPr="00417D17" w:rsidRDefault="001B4A4E" w:rsidP="00D2405E">
      <w:pPr>
        <w:pStyle w:val="ListParagraph"/>
        <w:numPr>
          <w:ilvl w:val="1"/>
          <w:numId w:val="5"/>
        </w:numPr>
        <w:spacing w:after="160"/>
        <w:ind w:left="720"/>
        <w:rPr>
          <w:rFonts w:ascii="Arial" w:hAnsi="Arial" w:cs="Arial"/>
          <w:sz w:val="24"/>
        </w:rPr>
      </w:pPr>
      <w:r w:rsidRPr="00417D17">
        <w:rPr>
          <w:rFonts w:ascii="Arial" w:hAnsi="Arial" w:cs="Arial"/>
          <w:sz w:val="24"/>
        </w:rPr>
        <w:t>If applicable, please provide the previous month unbilled loss adjusted consumption (kWh) in column G.</w:t>
      </w:r>
    </w:p>
    <w:p w14:paraId="6E1C6892" w14:textId="77777777" w:rsidR="001B4A4E" w:rsidRPr="00417D17" w:rsidRDefault="001B4A4E" w:rsidP="00D2405E">
      <w:pPr>
        <w:pStyle w:val="ListParagraph"/>
        <w:numPr>
          <w:ilvl w:val="1"/>
          <w:numId w:val="5"/>
        </w:numPr>
        <w:spacing w:after="0"/>
        <w:ind w:left="720"/>
        <w:rPr>
          <w:rFonts w:ascii="Arial" w:hAnsi="Arial" w:cs="Arial"/>
          <w:sz w:val="24"/>
        </w:rPr>
      </w:pPr>
      <w:r w:rsidRPr="00417D17">
        <w:rPr>
          <w:rFonts w:ascii="Arial" w:hAnsi="Arial" w:cs="Arial"/>
          <w:sz w:val="24"/>
        </w:rPr>
        <w:t>If applicable, please provide the current month unbilled loss adjusted consumption (kWh) in column H.</w:t>
      </w:r>
    </w:p>
    <w:p w14:paraId="27D63183" w14:textId="77777777" w:rsidR="001B4A4E" w:rsidRPr="00417D17" w:rsidRDefault="001B4A4E" w:rsidP="00554234">
      <w:pPr>
        <w:rPr>
          <w:rFonts w:ascii="Arial" w:hAnsi="Arial" w:cs="Arial"/>
          <w:b/>
          <w:bCs/>
          <w:sz w:val="24"/>
          <w:szCs w:val="24"/>
        </w:rPr>
      </w:pPr>
    </w:p>
    <w:p w14:paraId="5F363FF6" w14:textId="77777777" w:rsidR="00554234" w:rsidRPr="00417D17" w:rsidRDefault="00554234" w:rsidP="00554234">
      <w:pPr>
        <w:rPr>
          <w:rFonts w:ascii="Arial" w:hAnsi="Arial" w:cs="Arial"/>
          <w:b/>
          <w:bCs/>
          <w:sz w:val="24"/>
          <w:szCs w:val="24"/>
        </w:rPr>
      </w:pPr>
      <w:r w:rsidRPr="00417D17">
        <w:rPr>
          <w:rFonts w:ascii="Arial" w:hAnsi="Arial" w:cs="Arial"/>
          <w:b/>
          <w:bCs/>
          <w:sz w:val="24"/>
          <w:szCs w:val="24"/>
        </w:rPr>
        <w:t>Question #</w:t>
      </w:r>
      <w:r w:rsidR="00417D17" w:rsidRPr="00417D17">
        <w:rPr>
          <w:rFonts w:ascii="Arial" w:hAnsi="Arial" w:cs="Arial"/>
          <w:b/>
          <w:bCs/>
          <w:sz w:val="24"/>
          <w:szCs w:val="24"/>
        </w:rPr>
        <w:t>2</w:t>
      </w:r>
    </w:p>
    <w:p w14:paraId="3F40A43F" w14:textId="77777777" w:rsidR="00554234" w:rsidRPr="00417D17" w:rsidRDefault="00554234" w:rsidP="00554234">
      <w:pPr>
        <w:ind w:left="1440" w:hanging="1440"/>
        <w:rPr>
          <w:rFonts w:ascii="Arial" w:hAnsi="Arial" w:cs="Arial"/>
          <w:b/>
          <w:bCs/>
          <w:sz w:val="24"/>
          <w:szCs w:val="24"/>
        </w:rPr>
      </w:pPr>
    </w:p>
    <w:p w14:paraId="2DE9E399" w14:textId="77777777" w:rsidR="00554234" w:rsidRPr="00417D17" w:rsidRDefault="00554234" w:rsidP="00554234">
      <w:pPr>
        <w:ind w:left="1440" w:hanging="1440"/>
        <w:rPr>
          <w:rFonts w:ascii="Arial" w:hAnsi="Arial" w:cs="Arial"/>
          <w:b/>
          <w:bCs/>
          <w:sz w:val="24"/>
          <w:szCs w:val="24"/>
        </w:rPr>
      </w:pPr>
      <w:r w:rsidRPr="00417D17">
        <w:rPr>
          <w:rFonts w:ascii="Arial" w:hAnsi="Arial" w:cs="Arial"/>
          <w:b/>
          <w:bCs/>
          <w:sz w:val="24"/>
          <w:szCs w:val="24"/>
        </w:rPr>
        <w:t>References:</w:t>
      </w:r>
      <w:r w:rsidRPr="00417D17">
        <w:rPr>
          <w:rFonts w:ascii="Arial" w:hAnsi="Arial" w:cs="Arial"/>
          <w:b/>
          <w:bCs/>
          <w:sz w:val="24"/>
          <w:szCs w:val="24"/>
        </w:rPr>
        <w:tab/>
        <w:t>GA Analysis Workform – Reconciliation items 1a and 1b</w:t>
      </w:r>
      <w:r w:rsidRPr="00417D17">
        <w:rPr>
          <w:rFonts w:ascii="Arial" w:hAnsi="Arial" w:cs="Arial"/>
          <w:b/>
          <w:bCs/>
          <w:sz w:val="24"/>
          <w:szCs w:val="24"/>
        </w:rPr>
        <w:br/>
        <w:t>2018 Rate Generator Model – Tab 3 Continuity Schedule</w:t>
      </w:r>
    </w:p>
    <w:p w14:paraId="00CD2ED7" w14:textId="77777777" w:rsidR="00711F9C" w:rsidRPr="00417D17" w:rsidRDefault="00711F9C" w:rsidP="00345E35">
      <w:pPr>
        <w:rPr>
          <w:rFonts w:ascii="Arial" w:hAnsi="Arial" w:cs="Arial"/>
          <w:sz w:val="24"/>
          <w:szCs w:val="24"/>
        </w:rPr>
      </w:pPr>
    </w:p>
    <w:p w14:paraId="5A8AA1CE" w14:textId="77777777" w:rsidR="00554234" w:rsidRPr="00417D17" w:rsidRDefault="00554234" w:rsidP="00554234">
      <w:pPr>
        <w:rPr>
          <w:rFonts w:ascii="Arial" w:hAnsi="Arial" w:cs="Arial"/>
          <w:sz w:val="24"/>
          <w:szCs w:val="24"/>
        </w:rPr>
      </w:pPr>
      <w:r w:rsidRPr="00417D17">
        <w:rPr>
          <w:rFonts w:ascii="Arial" w:hAnsi="Arial" w:cs="Arial"/>
          <w:sz w:val="24"/>
          <w:szCs w:val="24"/>
        </w:rPr>
        <w:t>In booking expense journal entries for Charge Type 1142 (formerly 142), and Charge Type 148 from the IESO invoice, please confirm which of the following approaches is used:</w:t>
      </w:r>
    </w:p>
    <w:p w14:paraId="136E426B" w14:textId="77777777" w:rsidR="00554234" w:rsidRPr="00417D17" w:rsidRDefault="00554234" w:rsidP="00DA4D17">
      <w:pPr>
        <w:pStyle w:val="ListParagraph"/>
        <w:numPr>
          <w:ilvl w:val="0"/>
          <w:numId w:val="2"/>
        </w:numPr>
        <w:rPr>
          <w:rFonts w:ascii="Arial" w:hAnsi="Arial" w:cs="Arial"/>
          <w:sz w:val="24"/>
          <w:szCs w:val="24"/>
        </w:rPr>
      </w:pPr>
      <w:r w:rsidRPr="00417D17">
        <w:rPr>
          <w:rFonts w:ascii="Arial" w:hAnsi="Arial" w:cs="Arial"/>
          <w:sz w:val="24"/>
          <w:szCs w:val="24"/>
        </w:rPr>
        <w:t>Charge Type 1142 is booked into Account 1588. Charge Type 148 is pro-rated based on RPP/non-RPP consumption and then booked into Account 1588 and 1589, respectively</w:t>
      </w:r>
      <w:r w:rsidRPr="00417D17">
        <w:rPr>
          <w:rStyle w:val="FootnoteReference"/>
          <w:rFonts w:ascii="Arial" w:hAnsi="Arial" w:cs="Arial"/>
          <w:sz w:val="24"/>
          <w:szCs w:val="24"/>
        </w:rPr>
        <w:footnoteReference w:id="1"/>
      </w:r>
      <w:r w:rsidRPr="00417D17">
        <w:rPr>
          <w:rFonts w:ascii="Arial" w:hAnsi="Arial" w:cs="Arial"/>
          <w:sz w:val="24"/>
          <w:szCs w:val="24"/>
        </w:rPr>
        <w:t>.</w:t>
      </w:r>
    </w:p>
    <w:p w14:paraId="07F6B500" w14:textId="77777777" w:rsidR="00554234" w:rsidRPr="00417D17" w:rsidRDefault="00554234" w:rsidP="00554234">
      <w:pPr>
        <w:pStyle w:val="ListParagraph"/>
        <w:numPr>
          <w:ilvl w:val="0"/>
          <w:numId w:val="2"/>
        </w:numPr>
        <w:rPr>
          <w:rFonts w:ascii="Arial" w:hAnsi="Arial" w:cs="Arial"/>
          <w:sz w:val="24"/>
          <w:szCs w:val="24"/>
        </w:rPr>
      </w:pPr>
      <w:r w:rsidRPr="00417D17">
        <w:rPr>
          <w:rFonts w:ascii="Arial" w:hAnsi="Arial" w:cs="Arial"/>
          <w:sz w:val="24"/>
          <w:szCs w:val="24"/>
        </w:rPr>
        <w:t>Charge Type 1142 is booked into Account 1588. In relation to Charge Type 148, the non-RPP quantities multiplied by the GA rate is booked to account 1589 and the remainder of Charge Type 148 is booked to account 1588.</w:t>
      </w:r>
    </w:p>
    <w:p w14:paraId="1E8A8856" w14:textId="77777777" w:rsidR="00554234" w:rsidRPr="00417D17" w:rsidRDefault="00554234" w:rsidP="00554234">
      <w:pPr>
        <w:pStyle w:val="ListParagraph"/>
        <w:numPr>
          <w:ilvl w:val="0"/>
          <w:numId w:val="2"/>
        </w:numPr>
        <w:rPr>
          <w:rFonts w:ascii="Arial" w:hAnsi="Arial" w:cs="Arial"/>
          <w:sz w:val="24"/>
          <w:szCs w:val="24"/>
        </w:rPr>
      </w:pPr>
      <w:r w:rsidRPr="00417D17">
        <w:rPr>
          <w:rFonts w:ascii="Arial" w:hAnsi="Arial" w:cs="Arial"/>
          <w:sz w:val="24"/>
          <w:szCs w:val="24"/>
        </w:rPr>
        <w:lastRenderedPageBreak/>
        <w:t>Charge Type 148 is booked into Account 1589. The portion of Charge Type 1142 equalling RPP-HOEP for RPP consumption is booked into Account 1588. The portion of Charge Type 1142 equalling GA RPP is credited into Account 1589.</w:t>
      </w:r>
    </w:p>
    <w:p w14:paraId="439CFBB9" w14:textId="77777777" w:rsidR="00554234" w:rsidRDefault="00554234" w:rsidP="00554234">
      <w:pPr>
        <w:pStyle w:val="ListParagraph"/>
        <w:numPr>
          <w:ilvl w:val="0"/>
          <w:numId w:val="2"/>
        </w:numPr>
        <w:rPr>
          <w:rFonts w:ascii="Arial" w:hAnsi="Arial" w:cs="Arial"/>
          <w:sz w:val="24"/>
          <w:szCs w:val="24"/>
        </w:rPr>
      </w:pPr>
      <w:r w:rsidRPr="00417D17">
        <w:rPr>
          <w:rFonts w:ascii="Arial" w:hAnsi="Arial" w:cs="Arial"/>
          <w:sz w:val="24"/>
          <w:szCs w:val="24"/>
        </w:rPr>
        <w:t>If another approach is used, please explain in detail.</w:t>
      </w:r>
    </w:p>
    <w:p w14:paraId="7871AFAF" w14:textId="77777777" w:rsidR="00417D17" w:rsidRPr="00417D17" w:rsidRDefault="00417D17" w:rsidP="00D2405E">
      <w:pPr>
        <w:pStyle w:val="ListParagraph"/>
        <w:spacing w:after="0"/>
        <w:rPr>
          <w:rFonts w:ascii="Arial" w:hAnsi="Arial" w:cs="Arial"/>
          <w:sz w:val="24"/>
          <w:szCs w:val="24"/>
        </w:rPr>
      </w:pPr>
    </w:p>
    <w:p w14:paraId="3C6DD7B7" w14:textId="77777777" w:rsidR="00554234" w:rsidRPr="00417D17" w:rsidRDefault="00554234" w:rsidP="00554234">
      <w:pPr>
        <w:rPr>
          <w:rFonts w:ascii="Arial" w:hAnsi="Arial" w:cs="Arial"/>
          <w:b/>
          <w:bCs/>
          <w:sz w:val="24"/>
          <w:szCs w:val="24"/>
        </w:rPr>
      </w:pPr>
      <w:r w:rsidRPr="00417D17">
        <w:rPr>
          <w:rFonts w:ascii="Arial" w:hAnsi="Arial" w:cs="Arial"/>
          <w:b/>
          <w:bCs/>
          <w:sz w:val="24"/>
          <w:szCs w:val="24"/>
        </w:rPr>
        <w:t xml:space="preserve">Question </w:t>
      </w:r>
      <w:r w:rsidR="00711F9C" w:rsidRPr="00417D17">
        <w:rPr>
          <w:rFonts w:ascii="Arial" w:hAnsi="Arial" w:cs="Arial"/>
          <w:b/>
          <w:bCs/>
          <w:sz w:val="24"/>
          <w:szCs w:val="24"/>
        </w:rPr>
        <w:t>#</w:t>
      </w:r>
      <w:r w:rsidR="00417D17" w:rsidRPr="00417D17">
        <w:rPr>
          <w:rFonts w:ascii="Arial" w:hAnsi="Arial" w:cs="Arial"/>
          <w:b/>
          <w:bCs/>
          <w:sz w:val="24"/>
          <w:szCs w:val="24"/>
        </w:rPr>
        <w:t>3</w:t>
      </w:r>
    </w:p>
    <w:p w14:paraId="5CF96D28" w14:textId="77777777" w:rsidR="00711F9C" w:rsidRPr="00417D17" w:rsidRDefault="00711F9C" w:rsidP="00554234">
      <w:pPr>
        <w:ind w:left="1440" w:hanging="1440"/>
        <w:rPr>
          <w:rFonts w:ascii="Arial" w:hAnsi="Arial" w:cs="Arial"/>
          <w:b/>
          <w:bCs/>
          <w:sz w:val="24"/>
          <w:szCs w:val="24"/>
        </w:rPr>
      </w:pPr>
    </w:p>
    <w:p w14:paraId="67DD8406" w14:textId="77777777" w:rsidR="00554234" w:rsidRPr="00417D17" w:rsidRDefault="00554234" w:rsidP="00554234">
      <w:pPr>
        <w:ind w:left="1440" w:hanging="1440"/>
        <w:rPr>
          <w:rFonts w:ascii="Arial" w:hAnsi="Arial" w:cs="Arial"/>
          <w:b/>
          <w:bCs/>
          <w:sz w:val="24"/>
          <w:szCs w:val="24"/>
        </w:rPr>
      </w:pPr>
      <w:r w:rsidRPr="00417D17">
        <w:rPr>
          <w:rFonts w:ascii="Arial" w:hAnsi="Arial" w:cs="Arial"/>
          <w:b/>
          <w:bCs/>
          <w:sz w:val="24"/>
          <w:szCs w:val="24"/>
        </w:rPr>
        <w:t>References:</w:t>
      </w:r>
      <w:r w:rsidRPr="00417D17">
        <w:rPr>
          <w:rFonts w:ascii="Arial" w:hAnsi="Arial" w:cs="Arial"/>
          <w:b/>
          <w:bCs/>
          <w:sz w:val="24"/>
          <w:szCs w:val="24"/>
        </w:rPr>
        <w:tab/>
        <w:t xml:space="preserve">GA Analysis Workform – Reconciliation items 1a and 1b </w:t>
      </w:r>
      <w:r w:rsidRPr="00417D17">
        <w:rPr>
          <w:rFonts w:ascii="Arial" w:hAnsi="Arial" w:cs="Arial"/>
          <w:b/>
          <w:bCs/>
          <w:sz w:val="24"/>
          <w:szCs w:val="24"/>
        </w:rPr>
        <w:br/>
        <w:t>2018 Rate Generator Model – Tab 3 Continuity Schedule</w:t>
      </w:r>
    </w:p>
    <w:p w14:paraId="381EDAFB" w14:textId="77777777" w:rsidR="00711F9C" w:rsidRPr="00417D17" w:rsidRDefault="00711F9C" w:rsidP="00554234">
      <w:pPr>
        <w:ind w:left="1440" w:hanging="1440"/>
        <w:rPr>
          <w:rFonts w:ascii="Arial" w:hAnsi="Arial" w:cs="Arial"/>
          <w:b/>
          <w:bCs/>
          <w:sz w:val="24"/>
          <w:szCs w:val="24"/>
        </w:rPr>
      </w:pPr>
    </w:p>
    <w:p w14:paraId="12C3B23E" w14:textId="77777777" w:rsidR="00554234" w:rsidRPr="00417D17" w:rsidRDefault="00554234" w:rsidP="00554234">
      <w:pPr>
        <w:rPr>
          <w:rFonts w:ascii="Arial" w:hAnsi="Arial" w:cs="Arial"/>
          <w:sz w:val="24"/>
          <w:szCs w:val="24"/>
        </w:rPr>
      </w:pPr>
      <w:r w:rsidRPr="00417D17">
        <w:rPr>
          <w:rFonts w:ascii="Arial" w:hAnsi="Arial" w:cs="Arial"/>
          <w:sz w:val="24"/>
          <w:szCs w:val="24"/>
        </w:rPr>
        <w:t>With regards to the amount being requested for disposition of USoA 1589 account balance as at Dec. 31, 2016, all components that flow into Account 1589 (i to iv in table below) should be based on actuals in the 2018 Rate Generator Model – Tab 3 Continuity. Please complete the following table to:</w:t>
      </w:r>
    </w:p>
    <w:p w14:paraId="7899ACF1" w14:textId="77777777" w:rsidR="00554234" w:rsidRPr="00417D17" w:rsidRDefault="00554234" w:rsidP="00554234">
      <w:pPr>
        <w:pStyle w:val="ListParagraph"/>
        <w:numPr>
          <w:ilvl w:val="1"/>
          <w:numId w:val="1"/>
        </w:numPr>
        <w:rPr>
          <w:rFonts w:ascii="Arial" w:hAnsi="Arial" w:cs="Arial"/>
          <w:sz w:val="24"/>
          <w:szCs w:val="24"/>
        </w:rPr>
      </w:pPr>
      <w:r w:rsidRPr="00417D17">
        <w:rPr>
          <w:rFonts w:ascii="Arial" w:hAnsi="Arial" w:cs="Arial"/>
          <w:sz w:val="24"/>
          <w:szCs w:val="24"/>
        </w:rPr>
        <w:t xml:space="preserve">Indicate whether each of the components are based on estimates or actuals at year end, and </w:t>
      </w:r>
    </w:p>
    <w:p w14:paraId="3A8C9123" w14:textId="77777777" w:rsidR="00554234" w:rsidRPr="00417D17" w:rsidRDefault="00554234" w:rsidP="00554234">
      <w:pPr>
        <w:pStyle w:val="ListParagraph"/>
        <w:numPr>
          <w:ilvl w:val="1"/>
          <w:numId w:val="1"/>
        </w:numPr>
        <w:rPr>
          <w:rFonts w:ascii="Arial" w:hAnsi="Arial" w:cs="Arial"/>
          <w:sz w:val="24"/>
          <w:szCs w:val="24"/>
        </w:rPr>
      </w:pPr>
      <w:r w:rsidRPr="00417D17">
        <w:rPr>
          <w:rFonts w:ascii="Arial" w:hAnsi="Arial" w:cs="Arial"/>
          <w:sz w:val="24"/>
          <w:szCs w:val="24"/>
        </w:rPr>
        <w:t>Quantify the adjustment amount pertaining to each component that is trued-up from estimate to actual.</w:t>
      </w:r>
    </w:p>
    <w:tbl>
      <w:tblPr>
        <w:tblStyle w:val="TableGrid"/>
        <w:tblW w:w="10435" w:type="dxa"/>
        <w:tblLook w:val="04A0" w:firstRow="1" w:lastRow="0" w:firstColumn="1" w:lastColumn="0" w:noHBand="0" w:noVBand="1"/>
      </w:tblPr>
      <w:tblGrid>
        <w:gridCol w:w="381"/>
        <w:gridCol w:w="2119"/>
        <w:gridCol w:w="1084"/>
        <w:gridCol w:w="4781"/>
        <w:gridCol w:w="2070"/>
      </w:tblGrid>
      <w:tr w:rsidR="00554234" w:rsidRPr="00417D17" w14:paraId="036D8A56" w14:textId="77777777" w:rsidTr="00BA4A62">
        <w:tc>
          <w:tcPr>
            <w:tcW w:w="381" w:type="dxa"/>
          </w:tcPr>
          <w:p w14:paraId="3DA8C1A8" w14:textId="77777777" w:rsidR="00554234" w:rsidRPr="00417D17" w:rsidRDefault="00554234" w:rsidP="00BA4A62">
            <w:pPr>
              <w:rPr>
                <w:rFonts w:ascii="Arial" w:hAnsi="Arial" w:cs="Arial"/>
                <w:sz w:val="20"/>
                <w:szCs w:val="20"/>
              </w:rPr>
            </w:pPr>
          </w:p>
        </w:tc>
        <w:tc>
          <w:tcPr>
            <w:tcW w:w="2119" w:type="dxa"/>
          </w:tcPr>
          <w:p w14:paraId="0E1A30FC" w14:textId="77777777" w:rsidR="00554234" w:rsidRPr="00417D17" w:rsidRDefault="00554234" w:rsidP="00BA4A62">
            <w:pPr>
              <w:rPr>
                <w:rFonts w:ascii="Arial" w:hAnsi="Arial" w:cs="Arial"/>
                <w:b/>
                <w:sz w:val="20"/>
                <w:szCs w:val="20"/>
              </w:rPr>
            </w:pPr>
            <w:r w:rsidRPr="00417D17">
              <w:rPr>
                <w:rFonts w:ascii="Arial" w:hAnsi="Arial" w:cs="Arial"/>
                <w:b/>
                <w:sz w:val="20"/>
                <w:szCs w:val="20"/>
              </w:rPr>
              <w:t>Component</w:t>
            </w:r>
          </w:p>
        </w:tc>
        <w:tc>
          <w:tcPr>
            <w:tcW w:w="1084" w:type="dxa"/>
          </w:tcPr>
          <w:p w14:paraId="1DD5FD0E" w14:textId="77777777" w:rsidR="00554234" w:rsidRPr="00417D17" w:rsidRDefault="00554234" w:rsidP="00BA4A62">
            <w:pPr>
              <w:rPr>
                <w:rFonts w:ascii="Arial" w:hAnsi="Arial" w:cs="Arial"/>
                <w:b/>
                <w:sz w:val="20"/>
                <w:szCs w:val="20"/>
              </w:rPr>
            </w:pPr>
            <w:r w:rsidRPr="00417D17">
              <w:rPr>
                <w:rFonts w:ascii="Arial" w:hAnsi="Arial" w:cs="Arial"/>
                <w:b/>
                <w:sz w:val="20"/>
                <w:szCs w:val="20"/>
              </w:rPr>
              <w:t>Estimate or Actual</w:t>
            </w:r>
          </w:p>
        </w:tc>
        <w:tc>
          <w:tcPr>
            <w:tcW w:w="4781" w:type="dxa"/>
          </w:tcPr>
          <w:p w14:paraId="3559BCD5" w14:textId="77777777" w:rsidR="00554234" w:rsidRPr="00417D17" w:rsidRDefault="00554234" w:rsidP="00BA4A62">
            <w:pPr>
              <w:rPr>
                <w:rFonts w:ascii="Arial" w:hAnsi="Arial" w:cs="Arial"/>
                <w:b/>
                <w:sz w:val="20"/>
                <w:szCs w:val="20"/>
              </w:rPr>
            </w:pPr>
            <w:r w:rsidRPr="00417D17">
              <w:rPr>
                <w:rFonts w:ascii="Arial" w:hAnsi="Arial" w:cs="Arial"/>
                <w:b/>
                <w:sz w:val="20"/>
                <w:szCs w:val="20"/>
              </w:rPr>
              <w:t>Notes/Comments</w:t>
            </w:r>
          </w:p>
        </w:tc>
        <w:tc>
          <w:tcPr>
            <w:tcW w:w="2070" w:type="dxa"/>
          </w:tcPr>
          <w:p w14:paraId="4EADFA70" w14:textId="77777777" w:rsidR="00554234" w:rsidRPr="00417D17" w:rsidRDefault="00554234" w:rsidP="00BA4A62">
            <w:pPr>
              <w:rPr>
                <w:rFonts w:ascii="Arial" w:hAnsi="Arial" w:cs="Arial"/>
                <w:b/>
                <w:sz w:val="20"/>
                <w:szCs w:val="20"/>
              </w:rPr>
            </w:pPr>
            <w:r w:rsidRPr="00417D17">
              <w:rPr>
                <w:rFonts w:ascii="Arial" w:hAnsi="Arial" w:cs="Arial"/>
                <w:b/>
                <w:sz w:val="20"/>
                <w:szCs w:val="20"/>
              </w:rPr>
              <w:t>Quantify True Up  Adjustment $ Amount</w:t>
            </w:r>
          </w:p>
        </w:tc>
      </w:tr>
      <w:tr w:rsidR="00554234" w:rsidRPr="00417D17" w14:paraId="1E34D5FA" w14:textId="77777777" w:rsidTr="00BA4A62">
        <w:tc>
          <w:tcPr>
            <w:tcW w:w="381" w:type="dxa"/>
          </w:tcPr>
          <w:p w14:paraId="1C60AB15" w14:textId="77777777" w:rsidR="00554234" w:rsidRPr="00417D17" w:rsidRDefault="00554234" w:rsidP="00BA4A62">
            <w:pPr>
              <w:rPr>
                <w:rFonts w:ascii="Arial" w:hAnsi="Arial" w:cs="Arial"/>
                <w:sz w:val="20"/>
                <w:szCs w:val="20"/>
              </w:rPr>
            </w:pPr>
            <w:r w:rsidRPr="00417D17">
              <w:rPr>
                <w:rFonts w:ascii="Arial" w:hAnsi="Arial" w:cs="Arial"/>
                <w:sz w:val="20"/>
                <w:szCs w:val="20"/>
              </w:rPr>
              <w:t>i</w:t>
            </w:r>
          </w:p>
        </w:tc>
        <w:tc>
          <w:tcPr>
            <w:tcW w:w="2119" w:type="dxa"/>
          </w:tcPr>
          <w:p w14:paraId="4390140E" w14:textId="77777777" w:rsidR="00554234" w:rsidRPr="00417D17" w:rsidRDefault="00554234" w:rsidP="00BA4A62">
            <w:pPr>
              <w:rPr>
                <w:rFonts w:ascii="Arial" w:hAnsi="Arial" w:cs="Arial"/>
                <w:sz w:val="20"/>
                <w:szCs w:val="20"/>
              </w:rPr>
            </w:pPr>
            <w:r w:rsidRPr="00417D17">
              <w:rPr>
                <w:rFonts w:ascii="Arial" w:hAnsi="Arial" w:cs="Arial"/>
                <w:sz w:val="20"/>
                <w:szCs w:val="20"/>
              </w:rPr>
              <w:t xml:space="preserve">Revenue (i.e. is an unbilled revenue true-up adjustment reflected in the balances being requested for disposition?) </w:t>
            </w:r>
          </w:p>
          <w:p w14:paraId="095E253F" w14:textId="77777777" w:rsidR="00554234" w:rsidRPr="00417D17" w:rsidRDefault="00554234" w:rsidP="00BA4A62">
            <w:pPr>
              <w:rPr>
                <w:rFonts w:ascii="Arial" w:hAnsi="Arial" w:cs="Arial"/>
                <w:sz w:val="20"/>
                <w:szCs w:val="20"/>
              </w:rPr>
            </w:pPr>
          </w:p>
        </w:tc>
        <w:tc>
          <w:tcPr>
            <w:tcW w:w="1084" w:type="dxa"/>
          </w:tcPr>
          <w:p w14:paraId="7BC79249" w14:textId="77777777" w:rsidR="00554234" w:rsidRPr="00417D17" w:rsidRDefault="00554234" w:rsidP="00BA4A62">
            <w:pPr>
              <w:rPr>
                <w:rFonts w:ascii="Arial" w:hAnsi="Arial" w:cs="Arial"/>
                <w:sz w:val="20"/>
                <w:szCs w:val="20"/>
              </w:rPr>
            </w:pPr>
          </w:p>
        </w:tc>
        <w:tc>
          <w:tcPr>
            <w:tcW w:w="4781" w:type="dxa"/>
          </w:tcPr>
          <w:p w14:paraId="324407C3" w14:textId="77777777" w:rsidR="00554234" w:rsidRPr="00417D17" w:rsidRDefault="00554234" w:rsidP="00BA4A62">
            <w:pPr>
              <w:rPr>
                <w:rFonts w:ascii="Arial" w:hAnsi="Arial" w:cs="Arial"/>
                <w:sz w:val="20"/>
                <w:szCs w:val="20"/>
              </w:rPr>
            </w:pPr>
          </w:p>
        </w:tc>
        <w:tc>
          <w:tcPr>
            <w:tcW w:w="2070" w:type="dxa"/>
          </w:tcPr>
          <w:p w14:paraId="76EA8673" w14:textId="77777777" w:rsidR="00554234" w:rsidRPr="00417D17" w:rsidRDefault="00554234" w:rsidP="00BA4A62">
            <w:pPr>
              <w:jc w:val="center"/>
              <w:rPr>
                <w:rFonts w:ascii="Arial" w:hAnsi="Arial" w:cs="Arial"/>
                <w:sz w:val="20"/>
                <w:szCs w:val="20"/>
              </w:rPr>
            </w:pPr>
          </w:p>
        </w:tc>
      </w:tr>
      <w:tr w:rsidR="00554234" w:rsidRPr="00417D17" w14:paraId="7973DBEA" w14:textId="77777777" w:rsidTr="00BA4A62">
        <w:tc>
          <w:tcPr>
            <w:tcW w:w="381" w:type="dxa"/>
          </w:tcPr>
          <w:p w14:paraId="6C019662" w14:textId="77777777" w:rsidR="00554234" w:rsidRPr="00417D17" w:rsidRDefault="00554234" w:rsidP="00BA4A62">
            <w:pPr>
              <w:rPr>
                <w:rFonts w:ascii="Arial" w:hAnsi="Arial" w:cs="Arial"/>
                <w:sz w:val="20"/>
                <w:szCs w:val="20"/>
              </w:rPr>
            </w:pPr>
            <w:r w:rsidRPr="00417D17">
              <w:rPr>
                <w:rFonts w:ascii="Arial" w:hAnsi="Arial" w:cs="Arial"/>
                <w:sz w:val="20"/>
                <w:szCs w:val="20"/>
              </w:rPr>
              <w:t>ii</w:t>
            </w:r>
          </w:p>
        </w:tc>
        <w:tc>
          <w:tcPr>
            <w:tcW w:w="2119" w:type="dxa"/>
          </w:tcPr>
          <w:p w14:paraId="13F32125" w14:textId="77777777" w:rsidR="00554234" w:rsidRPr="00417D17" w:rsidRDefault="00554234" w:rsidP="00BA4A62">
            <w:pPr>
              <w:rPr>
                <w:rFonts w:ascii="Arial" w:hAnsi="Arial" w:cs="Arial"/>
                <w:sz w:val="20"/>
                <w:szCs w:val="20"/>
              </w:rPr>
            </w:pPr>
            <w:r w:rsidRPr="00417D17">
              <w:rPr>
                <w:rFonts w:ascii="Arial" w:hAnsi="Arial" w:cs="Arial"/>
                <w:sz w:val="20"/>
                <w:szCs w:val="20"/>
              </w:rPr>
              <w:t>Expenses - GA non-RPP: Charge Type 148 with respect to the quantum dollar amount (i.e. is expense based on IESO invoice at year end)</w:t>
            </w:r>
          </w:p>
          <w:p w14:paraId="714B3F83" w14:textId="77777777" w:rsidR="00554234" w:rsidRPr="00417D17" w:rsidRDefault="00554234" w:rsidP="00BA4A62">
            <w:pPr>
              <w:rPr>
                <w:rFonts w:ascii="Arial" w:hAnsi="Arial" w:cs="Arial"/>
                <w:sz w:val="20"/>
                <w:szCs w:val="20"/>
              </w:rPr>
            </w:pPr>
          </w:p>
        </w:tc>
        <w:tc>
          <w:tcPr>
            <w:tcW w:w="1084" w:type="dxa"/>
          </w:tcPr>
          <w:p w14:paraId="6ED071D5" w14:textId="77777777" w:rsidR="00554234" w:rsidRPr="00417D17" w:rsidRDefault="00554234" w:rsidP="00BA4A62">
            <w:pPr>
              <w:rPr>
                <w:rFonts w:ascii="Arial" w:hAnsi="Arial" w:cs="Arial"/>
                <w:sz w:val="20"/>
                <w:szCs w:val="20"/>
              </w:rPr>
            </w:pPr>
          </w:p>
        </w:tc>
        <w:tc>
          <w:tcPr>
            <w:tcW w:w="4781" w:type="dxa"/>
          </w:tcPr>
          <w:p w14:paraId="4DABF249" w14:textId="77777777" w:rsidR="00554234" w:rsidRPr="00417D17" w:rsidRDefault="00554234" w:rsidP="00BA4A62">
            <w:pPr>
              <w:rPr>
                <w:rFonts w:ascii="Arial" w:hAnsi="Arial" w:cs="Arial"/>
                <w:sz w:val="20"/>
                <w:szCs w:val="20"/>
              </w:rPr>
            </w:pPr>
          </w:p>
        </w:tc>
        <w:tc>
          <w:tcPr>
            <w:tcW w:w="2070" w:type="dxa"/>
          </w:tcPr>
          <w:p w14:paraId="587AC8BD" w14:textId="77777777" w:rsidR="00554234" w:rsidRPr="00417D17" w:rsidRDefault="00554234" w:rsidP="00BA4A62">
            <w:pPr>
              <w:rPr>
                <w:rFonts w:ascii="Arial" w:hAnsi="Arial" w:cs="Arial"/>
                <w:sz w:val="20"/>
                <w:szCs w:val="20"/>
              </w:rPr>
            </w:pPr>
          </w:p>
        </w:tc>
      </w:tr>
      <w:tr w:rsidR="00554234" w:rsidRPr="00417D17" w14:paraId="251B1592" w14:textId="77777777" w:rsidTr="00BA4A62">
        <w:tc>
          <w:tcPr>
            <w:tcW w:w="381" w:type="dxa"/>
          </w:tcPr>
          <w:p w14:paraId="6CC8975E" w14:textId="77777777" w:rsidR="00554234" w:rsidRPr="00417D17" w:rsidRDefault="00554234" w:rsidP="00BA4A62">
            <w:pPr>
              <w:rPr>
                <w:rFonts w:ascii="Arial" w:hAnsi="Arial" w:cs="Arial"/>
                <w:sz w:val="20"/>
                <w:szCs w:val="20"/>
              </w:rPr>
            </w:pPr>
            <w:r w:rsidRPr="00417D17">
              <w:rPr>
                <w:rFonts w:ascii="Arial" w:hAnsi="Arial" w:cs="Arial"/>
                <w:sz w:val="20"/>
                <w:szCs w:val="20"/>
              </w:rPr>
              <w:t>iii</w:t>
            </w:r>
          </w:p>
        </w:tc>
        <w:tc>
          <w:tcPr>
            <w:tcW w:w="2119" w:type="dxa"/>
          </w:tcPr>
          <w:p w14:paraId="6663D89F" w14:textId="77777777" w:rsidR="00554234" w:rsidRPr="00417D17" w:rsidRDefault="00554234" w:rsidP="00BA4A62">
            <w:pPr>
              <w:rPr>
                <w:rFonts w:ascii="Arial" w:hAnsi="Arial" w:cs="Arial"/>
                <w:sz w:val="20"/>
                <w:szCs w:val="20"/>
              </w:rPr>
            </w:pPr>
            <w:r w:rsidRPr="00417D17">
              <w:rPr>
                <w:rFonts w:ascii="Arial" w:hAnsi="Arial" w:cs="Arial"/>
                <w:sz w:val="20"/>
                <w:szCs w:val="20"/>
              </w:rPr>
              <w:t>Expenses - GA non-RPP: Charge Type 148 with respect to the RPP/non-RPP kWh volume proportions.</w:t>
            </w:r>
          </w:p>
          <w:p w14:paraId="1F7A461F" w14:textId="77777777" w:rsidR="00554234" w:rsidRPr="00417D17" w:rsidRDefault="00554234" w:rsidP="00BA4A62">
            <w:pPr>
              <w:rPr>
                <w:rFonts w:ascii="Arial" w:hAnsi="Arial" w:cs="Arial"/>
                <w:sz w:val="20"/>
                <w:szCs w:val="20"/>
              </w:rPr>
            </w:pPr>
          </w:p>
        </w:tc>
        <w:tc>
          <w:tcPr>
            <w:tcW w:w="1084" w:type="dxa"/>
          </w:tcPr>
          <w:p w14:paraId="30E0DE7E" w14:textId="77777777" w:rsidR="00554234" w:rsidRPr="00417D17" w:rsidRDefault="00554234" w:rsidP="00BA4A62">
            <w:pPr>
              <w:rPr>
                <w:rFonts w:ascii="Arial" w:hAnsi="Arial" w:cs="Arial"/>
                <w:sz w:val="20"/>
                <w:szCs w:val="20"/>
              </w:rPr>
            </w:pPr>
          </w:p>
        </w:tc>
        <w:tc>
          <w:tcPr>
            <w:tcW w:w="4781" w:type="dxa"/>
          </w:tcPr>
          <w:p w14:paraId="3DC44956" w14:textId="77777777" w:rsidR="00554234" w:rsidRPr="00417D17" w:rsidRDefault="00554234" w:rsidP="00BA4A62">
            <w:pPr>
              <w:rPr>
                <w:rFonts w:ascii="Arial" w:hAnsi="Arial" w:cs="Arial"/>
                <w:sz w:val="20"/>
                <w:szCs w:val="20"/>
              </w:rPr>
            </w:pPr>
          </w:p>
        </w:tc>
        <w:tc>
          <w:tcPr>
            <w:tcW w:w="2070" w:type="dxa"/>
          </w:tcPr>
          <w:p w14:paraId="2E3E3F9C" w14:textId="77777777" w:rsidR="00554234" w:rsidRPr="00417D17" w:rsidRDefault="00554234" w:rsidP="00BA4A62">
            <w:pPr>
              <w:rPr>
                <w:rFonts w:ascii="Arial" w:hAnsi="Arial" w:cs="Arial"/>
                <w:sz w:val="20"/>
                <w:szCs w:val="20"/>
              </w:rPr>
            </w:pPr>
          </w:p>
        </w:tc>
      </w:tr>
      <w:tr w:rsidR="00554234" w:rsidRPr="00417D17" w14:paraId="15EAC9AB" w14:textId="77777777" w:rsidTr="00BA4A62">
        <w:trPr>
          <w:trHeight w:val="1070"/>
        </w:trPr>
        <w:tc>
          <w:tcPr>
            <w:tcW w:w="381" w:type="dxa"/>
          </w:tcPr>
          <w:p w14:paraId="1B1749F9" w14:textId="77777777" w:rsidR="00554234" w:rsidRPr="00417D17" w:rsidRDefault="00554234" w:rsidP="00BA4A62">
            <w:pPr>
              <w:rPr>
                <w:rFonts w:ascii="Arial" w:hAnsi="Arial" w:cs="Arial"/>
                <w:sz w:val="20"/>
                <w:szCs w:val="20"/>
              </w:rPr>
            </w:pPr>
            <w:r w:rsidRPr="00417D17">
              <w:rPr>
                <w:rFonts w:ascii="Arial" w:hAnsi="Arial" w:cs="Arial"/>
                <w:sz w:val="20"/>
                <w:szCs w:val="20"/>
              </w:rPr>
              <w:t>iv</w:t>
            </w:r>
          </w:p>
        </w:tc>
        <w:tc>
          <w:tcPr>
            <w:tcW w:w="2119" w:type="dxa"/>
          </w:tcPr>
          <w:p w14:paraId="677D9751" w14:textId="77777777" w:rsidR="00554234" w:rsidRPr="00417D17" w:rsidRDefault="00554234" w:rsidP="00BA4A62">
            <w:pPr>
              <w:rPr>
                <w:rFonts w:ascii="Arial" w:hAnsi="Arial" w:cs="Arial"/>
                <w:sz w:val="20"/>
                <w:szCs w:val="20"/>
              </w:rPr>
            </w:pPr>
            <w:r w:rsidRPr="00417D17">
              <w:rPr>
                <w:rFonts w:ascii="Arial" w:hAnsi="Arial" w:cs="Arial"/>
                <w:sz w:val="20"/>
                <w:szCs w:val="20"/>
              </w:rPr>
              <w:t>Credit of GA RPP: Charge Type 142 if the approach under Staff Question 1c is used</w:t>
            </w:r>
          </w:p>
        </w:tc>
        <w:tc>
          <w:tcPr>
            <w:tcW w:w="1084" w:type="dxa"/>
          </w:tcPr>
          <w:p w14:paraId="5822F1AA" w14:textId="77777777" w:rsidR="00554234" w:rsidRPr="00417D17" w:rsidRDefault="00554234" w:rsidP="00BA4A62">
            <w:pPr>
              <w:rPr>
                <w:rFonts w:ascii="Arial" w:hAnsi="Arial" w:cs="Arial"/>
                <w:sz w:val="20"/>
                <w:szCs w:val="20"/>
              </w:rPr>
            </w:pPr>
          </w:p>
        </w:tc>
        <w:tc>
          <w:tcPr>
            <w:tcW w:w="4781" w:type="dxa"/>
          </w:tcPr>
          <w:p w14:paraId="4F9DEE88" w14:textId="77777777" w:rsidR="00554234" w:rsidRPr="00417D17" w:rsidRDefault="00554234" w:rsidP="00BA4A62">
            <w:pPr>
              <w:rPr>
                <w:rFonts w:ascii="Arial" w:hAnsi="Arial" w:cs="Arial"/>
                <w:sz w:val="20"/>
                <w:szCs w:val="20"/>
              </w:rPr>
            </w:pPr>
          </w:p>
        </w:tc>
        <w:tc>
          <w:tcPr>
            <w:tcW w:w="2070" w:type="dxa"/>
          </w:tcPr>
          <w:p w14:paraId="78D4C732" w14:textId="77777777" w:rsidR="00554234" w:rsidRPr="00417D17" w:rsidRDefault="00554234" w:rsidP="00BA4A62">
            <w:pPr>
              <w:rPr>
                <w:rFonts w:ascii="Arial" w:hAnsi="Arial" w:cs="Arial"/>
                <w:sz w:val="20"/>
                <w:szCs w:val="20"/>
              </w:rPr>
            </w:pPr>
          </w:p>
        </w:tc>
      </w:tr>
    </w:tbl>
    <w:p w14:paraId="6B476C60" w14:textId="77777777" w:rsidR="00554234" w:rsidRPr="00417D17" w:rsidRDefault="00554234" w:rsidP="00554234">
      <w:pPr>
        <w:rPr>
          <w:rFonts w:ascii="Arial" w:hAnsi="Arial" w:cs="Arial"/>
          <w:b/>
          <w:sz w:val="24"/>
          <w:szCs w:val="24"/>
        </w:rPr>
      </w:pPr>
    </w:p>
    <w:p w14:paraId="2E15951D" w14:textId="77777777" w:rsidR="00554234" w:rsidRPr="00417D17" w:rsidRDefault="00554234" w:rsidP="00D2405E">
      <w:pPr>
        <w:pStyle w:val="ListParagraph"/>
        <w:numPr>
          <w:ilvl w:val="1"/>
          <w:numId w:val="1"/>
        </w:numPr>
        <w:spacing w:after="0"/>
        <w:rPr>
          <w:rFonts w:ascii="Arial" w:hAnsi="Arial" w:cs="Arial"/>
          <w:sz w:val="24"/>
          <w:szCs w:val="24"/>
        </w:rPr>
      </w:pPr>
      <w:r w:rsidRPr="00417D17">
        <w:rPr>
          <w:rFonts w:ascii="Arial" w:hAnsi="Arial" w:cs="Arial"/>
          <w:sz w:val="24"/>
          <w:szCs w:val="24"/>
        </w:rPr>
        <w:t xml:space="preserve">For each item in the table above, please confirm that the GA Analysis Workform for 2016 and the 2018 Rate Generator Model Tab 3 Continuity Schedule for 2016 have been adjusted for settlement true-ups where settlement was originally based on estimate and trued up to actuals subsequent to 2016. </w:t>
      </w:r>
    </w:p>
    <w:p w14:paraId="0D06454B" w14:textId="77777777" w:rsidR="00417D17" w:rsidRDefault="00417D17" w:rsidP="00D2405E">
      <w:pPr>
        <w:spacing w:line="276" w:lineRule="auto"/>
        <w:rPr>
          <w:rFonts w:ascii="Arial" w:hAnsi="Arial" w:cs="Arial"/>
          <w:b/>
          <w:sz w:val="24"/>
          <w:szCs w:val="24"/>
        </w:rPr>
      </w:pPr>
    </w:p>
    <w:p w14:paraId="449CF3DC" w14:textId="77777777" w:rsidR="00554234" w:rsidRPr="00417D17" w:rsidRDefault="00554234" w:rsidP="00554234">
      <w:pPr>
        <w:rPr>
          <w:rFonts w:ascii="Arial" w:hAnsi="Arial" w:cs="Arial"/>
          <w:b/>
          <w:sz w:val="24"/>
          <w:szCs w:val="24"/>
        </w:rPr>
      </w:pPr>
      <w:r w:rsidRPr="00417D17">
        <w:rPr>
          <w:rFonts w:ascii="Arial" w:hAnsi="Arial" w:cs="Arial"/>
          <w:b/>
          <w:sz w:val="24"/>
          <w:szCs w:val="24"/>
        </w:rPr>
        <w:t>Question #</w:t>
      </w:r>
      <w:r w:rsidR="00417D17" w:rsidRPr="00417D17">
        <w:rPr>
          <w:rFonts w:ascii="Arial" w:hAnsi="Arial" w:cs="Arial"/>
          <w:b/>
          <w:sz w:val="24"/>
          <w:szCs w:val="24"/>
        </w:rPr>
        <w:t>4</w:t>
      </w:r>
    </w:p>
    <w:p w14:paraId="54441FCE" w14:textId="77777777" w:rsidR="00711F9C" w:rsidRPr="00417D17" w:rsidRDefault="00711F9C" w:rsidP="00554234">
      <w:pPr>
        <w:ind w:left="1440" w:hanging="1440"/>
        <w:rPr>
          <w:rFonts w:ascii="Arial" w:hAnsi="Arial" w:cs="Arial"/>
          <w:b/>
          <w:bCs/>
          <w:sz w:val="24"/>
          <w:szCs w:val="24"/>
        </w:rPr>
      </w:pPr>
    </w:p>
    <w:p w14:paraId="5484F65B" w14:textId="77777777" w:rsidR="00554234" w:rsidRPr="00417D17" w:rsidRDefault="00554234" w:rsidP="00554234">
      <w:pPr>
        <w:ind w:left="1440" w:hanging="1440"/>
        <w:rPr>
          <w:rFonts w:ascii="Arial" w:hAnsi="Arial" w:cs="Arial"/>
          <w:b/>
          <w:bCs/>
          <w:sz w:val="24"/>
          <w:szCs w:val="24"/>
        </w:rPr>
      </w:pPr>
      <w:r w:rsidRPr="00417D17">
        <w:rPr>
          <w:rFonts w:ascii="Arial" w:hAnsi="Arial" w:cs="Arial"/>
          <w:b/>
          <w:bCs/>
          <w:sz w:val="24"/>
          <w:szCs w:val="24"/>
        </w:rPr>
        <w:t>References:</w:t>
      </w:r>
      <w:r w:rsidRPr="00417D17">
        <w:rPr>
          <w:rFonts w:ascii="Arial" w:hAnsi="Arial" w:cs="Arial"/>
          <w:b/>
          <w:bCs/>
          <w:sz w:val="24"/>
          <w:szCs w:val="24"/>
        </w:rPr>
        <w:tab/>
        <w:t>2018 Rate Generator Model – Tab 3 Continuity Schedule</w:t>
      </w:r>
    </w:p>
    <w:p w14:paraId="0BEBD6B5" w14:textId="77777777" w:rsidR="00711F9C" w:rsidRPr="00417D17" w:rsidRDefault="00711F9C" w:rsidP="00554234">
      <w:pPr>
        <w:rPr>
          <w:rFonts w:ascii="Arial" w:hAnsi="Arial" w:cs="Arial"/>
          <w:sz w:val="24"/>
          <w:szCs w:val="24"/>
        </w:rPr>
      </w:pPr>
    </w:p>
    <w:p w14:paraId="71988277" w14:textId="77777777" w:rsidR="00554234" w:rsidRPr="00417D17" w:rsidRDefault="00554234" w:rsidP="00554234">
      <w:pPr>
        <w:rPr>
          <w:rFonts w:ascii="Arial" w:hAnsi="Arial" w:cs="Arial"/>
          <w:sz w:val="24"/>
          <w:szCs w:val="24"/>
        </w:rPr>
      </w:pPr>
      <w:r w:rsidRPr="00417D17">
        <w:rPr>
          <w:rFonts w:ascii="Arial" w:hAnsi="Arial" w:cs="Arial"/>
          <w:sz w:val="24"/>
          <w:szCs w:val="24"/>
        </w:rPr>
        <w:t>With regards to the amount being requested for disposition of USoA 1588 account balance as at Dec. 31, 2016, all components that flow into Account 1588  (i to iv in table below) should be all based on actuals at year end. Please complete the following table to:</w:t>
      </w:r>
    </w:p>
    <w:p w14:paraId="02D20F96" w14:textId="77777777" w:rsidR="00554234" w:rsidRPr="00417D17" w:rsidRDefault="00554234" w:rsidP="00554234">
      <w:pPr>
        <w:pStyle w:val="ListParagraph"/>
        <w:numPr>
          <w:ilvl w:val="0"/>
          <w:numId w:val="3"/>
        </w:numPr>
        <w:rPr>
          <w:rFonts w:ascii="Arial" w:hAnsi="Arial" w:cs="Arial"/>
          <w:sz w:val="24"/>
          <w:szCs w:val="24"/>
        </w:rPr>
      </w:pPr>
      <w:r w:rsidRPr="00417D17">
        <w:rPr>
          <w:rFonts w:ascii="Arial" w:hAnsi="Arial" w:cs="Arial"/>
          <w:sz w:val="24"/>
          <w:szCs w:val="24"/>
        </w:rPr>
        <w:t xml:space="preserve">Indicate whether the component is based on estimates or actuals at year end, and </w:t>
      </w:r>
    </w:p>
    <w:p w14:paraId="4FACA6D0" w14:textId="77777777" w:rsidR="00554234" w:rsidRPr="00417D17" w:rsidRDefault="00554234" w:rsidP="00554234">
      <w:pPr>
        <w:pStyle w:val="ListParagraph"/>
        <w:numPr>
          <w:ilvl w:val="0"/>
          <w:numId w:val="3"/>
        </w:numPr>
        <w:rPr>
          <w:rFonts w:ascii="Arial" w:hAnsi="Arial" w:cs="Arial"/>
          <w:sz w:val="24"/>
          <w:szCs w:val="24"/>
        </w:rPr>
      </w:pPr>
      <w:r w:rsidRPr="00417D17">
        <w:rPr>
          <w:rFonts w:ascii="Arial" w:hAnsi="Arial" w:cs="Arial"/>
          <w:sz w:val="24"/>
          <w:szCs w:val="24"/>
        </w:rPr>
        <w:t>Quantify the adjustment pertaining to each component that is trued-up from estimate to actual</w:t>
      </w:r>
    </w:p>
    <w:tbl>
      <w:tblPr>
        <w:tblStyle w:val="TableGrid"/>
        <w:tblW w:w="10435" w:type="dxa"/>
        <w:tblLook w:val="04A0" w:firstRow="1" w:lastRow="0" w:firstColumn="1" w:lastColumn="0" w:noHBand="0" w:noVBand="1"/>
      </w:tblPr>
      <w:tblGrid>
        <w:gridCol w:w="389"/>
        <w:gridCol w:w="2486"/>
        <w:gridCol w:w="1350"/>
        <w:gridCol w:w="4230"/>
        <w:gridCol w:w="1980"/>
      </w:tblGrid>
      <w:tr w:rsidR="00554234" w:rsidRPr="00417D17" w14:paraId="6A8512CB" w14:textId="77777777" w:rsidTr="00BA4A62">
        <w:tc>
          <w:tcPr>
            <w:tcW w:w="389" w:type="dxa"/>
          </w:tcPr>
          <w:p w14:paraId="2D8851AF" w14:textId="77777777" w:rsidR="00554234" w:rsidRPr="00417D17" w:rsidRDefault="00554234" w:rsidP="00BA4A62">
            <w:pPr>
              <w:rPr>
                <w:rFonts w:ascii="Arial" w:hAnsi="Arial" w:cs="Arial"/>
                <w:sz w:val="20"/>
                <w:szCs w:val="20"/>
              </w:rPr>
            </w:pPr>
          </w:p>
        </w:tc>
        <w:tc>
          <w:tcPr>
            <w:tcW w:w="2486" w:type="dxa"/>
          </w:tcPr>
          <w:p w14:paraId="61B26211" w14:textId="77777777" w:rsidR="00554234" w:rsidRPr="00417D17" w:rsidRDefault="00554234" w:rsidP="00BA4A62">
            <w:pPr>
              <w:rPr>
                <w:rFonts w:ascii="Arial" w:hAnsi="Arial" w:cs="Arial"/>
                <w:b/>
                <w:sz w:val="20"/>
                <w:szCs w:val="20"/>
              </w:rPr>
            </w:pPr>
            <w:r w:rsidRPr="00417D17">
              <w:rPr>
                <w:rFonts w:ascii="Arial" w:hAnsi="Arial" w:cs="Arial"/>
                <w:b/>
                <w:sz w:val="20"/>
                <w:szCs w:val="20"/>
              </w:rPr>
              <w:t>Component</w:t>
            </w:r>
          </w:p>
        </w:tc>
        <w:tc>
          <w:tcPr>
            <w:tcW w:w="1350" w:type="dxa"/>
          </w:tcPr>
          <w:p w14:paraId="1369088F" w14:textId="77777777" w:rsidR="00554234" w:rsidRPr="00417D17" w:rsidRDefault="00554234" w:rsidP="00BA4A62">
            <w:pPr>
              <w:rPr>
                <w:rFonts w:ascii="Arial" w:hAnsi="Arial" w:cs="Arial"/>
                <w:b/>
                <w:sz w:val="20"/>
                <w:szCs w:val="20"/>
              </w:rPr>
            </w:pPr>
            <w:r w:rsidRPr="00417D17">
              <w:rPr>
                <w:rFonts w:ascii="Arial" w:hAnsi="Arial" w:cs="Arial"/>
                <w:b/>
                <w:sz w:val="20"/>
                <w:szCs w:val="20"/>
              </w:rPr>
              <w:t>Estimate or Actual?</w:t>
            </w:r>
          </w:p>
        </w:tc>
        <w:tc>
          <w:tcPr>
            <w:tcW w:w="4230" w:type="dxa"/>
          </w:tcPr>
          <w:p w14:paraId="3F7A1C62" w14:textId="77777777" w:rsidR="00554234" w:rsidRPr="00417D17" w:rsidRDefault="00554234" w:rsidP="00BA4A62">
            <w:pPr>
              <w:rPr>
                <w:rFonts w:ascii="Arial" w:hAnsi="Arial" w:cs="Arial"/>
                <w:b/>
                <w:sz w:val="20"/>
                <w:szCs w:val="20"/>
              </w:rPr>
            </w:pPr>
            <w:r w:rsidRPr="00417D17">
              <w:rPr>
                <w:rFonts w:ascii="Arial" w:hAnsi="Arial" w:cs="Arial"/>
                <w:b/>
                <w:sz w:val="20"/>
                <w:szCs w:val="20"/>
              </w:rPr>
              <w:t>Notes/Comments</w:t>
            </w:r>
          </w:p>
        </w:tc>
        <w:tc>
          <w:tcPr>
            <w:tcW w:w="1980" w:type="dxa"/>
          </w:tcPr>
          <w:p w14:paraId="4A9FAB8D" w14:textId="77777777" w:rsidR="00554234" w:rsidRPr="00417D17" w:rsidRDefault="00554234" w:rsidP="00BA4A62">
            <w:pPr>
              <w:rPr>
                <w:rFonts w:ascii="Arial" w:hAnsi="Arial" w:cs="Arial"/>
                <w:b/>
                <w:sz w:val="20"/>
                <w:szCs w:val="20"/>
              </w:rPr>
            </w:pPr>
            <w:r w:rsidRPr="00417D17">
              <w:rPr>
                <w:rFonts w:ascii="Arial" w:hAnsi="Arial" w:cs="Arial"/>
                <w:b/>
                <w:sz w:val="20"/>
                <w:szCs w:val="20"/>
              </w:rPr>
              <w:t>Quantify True Up  Adjustment $ Amount</w:t>
            </w:r>
          </w:p>
        </w:tc>
      </w:tr>
      <w:tr w:rsidR="00554234" w:rsidRPr="00417D17" w14:paraId="5F72C4E6" w14:textId="77777777" w:rsidTr="00BA4A62">
        <w:trPr>
          <w:trHeight w:val="1385"/>
        </w:trPr>
        <w:tc>
          <w:tcPr>
            <w:tcW w:w="389" w:type="dxa"/>
          </w:tcPr>
          <w:p w14:paraId="0E2ED608" w14:textId="77777777" w:rsidR="00554234" w:rsidRPr="00417D17" w:rsidRDefault="00554234" w:rsidP="00BA4A62">
            <w:pPr>
              <w:rPr>
                <w:rFonts w:ascii="Arial" w:hAnsi="Arial" w:cs="Arial"/>
                <w:sz w:val="20"/>
                <w:szCs w:val="20"/>
              </w:rPr>
            </w:pPr>
            <w:r w:rsidRPr="00417D17">
              <w:rPr>
                <w:rFonts w:ascii="Arial" w:hAnsi="Arial" w:cs="Arial"/>
                <w:sz w:val="20"/>
                <w:szCs w:val="20"/>
              </w:rPr>
              <w:t>i</w:t>
            </w:r>
          </w:p>
        </w:tc>
        <w:tc>
          <w:tcPr>
            <w:tcW w:w="2486" w:type="dxa"/>
          </w:tcPr>
          <w:p w14:paraId="35D5B40B" w14:textId="77777777" w:rsidR="00554234" w:rsidRPr="00417D17" w:rsidRDefault="00554234" w:rsidP="00BA4A62">
            <w:pPr>
              <w:rPr>
                <w:rFonts w:ascii="Arial" w:hAnsi="Arial" w:cs="Arial"/>
                <w:sz w:val="20"/>
                <w:szCs w:val="20"/>
              </w:rPr>
            </w:pPr>
            <w:r w:rsidRPr="00417D17">
              <w:rPr>
                <w:rFonts w:ascii="Arial" w:hAnsi="Arial" w:cs="Arial"/>
                <w:sz w:val="20"/>
                <w:szCs w:val="20"/>
              </w:rPr>
              <w:t xml:space="preserve">Revenues (i.e. is an unbilled revenue true-up adjustment reflected in the balances being requested for disposition?) </w:t>
            </w:r>
          </w:p>
        </w:tc>
        <w:tc>
          <w:tcPr>
            <w:tcW w:w="1350" w:type="dxa"/>
          </w:tcPr>
          <w:p w14:paraId="6268DA3E" w14:textId="77777777" w:rsidR="00554234" w:rsidRPr="00417D17" w:rsidRDefault="00554234" w:rsidP="00BA4A62">
            <w:pPr>
              <w:rPr>
                <w:rFonts w:ascii="Arial" w:hAnsi="Arial" w:cs="Arial"/>
                <w:sz w:val="20"/>
                <w:szCs w:val="20"/>
              </w:rPr>
            </w:pPr>
          </w:p>
        </w:tc>
        <w:tc>
          <w:tcPr>
            <w:tcW w:w="4230" w:type="dxa"/>
          </w:tcPr>
          <w:p w14:paraId="6B896AF7" w14:textId="77777777" w:rsidR="00554234" w:rsidRPr="00417D17" w:rsidRDefault="00554234" w:rsidP="00BA4A62">
            <w:pPr>
              <w:rPr>
                <w:rFonts w:ascii="Arial" w:hAnsi="Arial" w:cs="Arial"/>
                <w:sz w:val="20"/>
                <w:szCs w:val="20"/>
              </w:rPr>
            </w:pPr>
          </w:p>
        </w:tc>
        <w:tc>
          <w:tcPr>
            <w:tcW w:w="1980" w:type="dxa"/>
          </w:tcPr>
          <w:p w14:paraId="11D97BE5" w14:textId="77777777" w:rsidR="00554234" w:rsidRPr="00417D17" w:rsidRDefault="00554234" w:rsidP="00BA4A62">
            <w:pPr>
              <w:rPr>
                <w:rFonts w:ascii="Arial" w:hAnsi="Arial" w:cs="Arial"/>
                <w:sz w:val="20"/>
                <w:szCs w:val="20"/>
              </w:rPr>
            </w:pPr>
          </w:p>
        </w:tc>
      </w:tr>
      <w:tr w:rsidR="00554234" w:rsidRPr="00417D17" w14:paraId="3D09FB67" w14:textId="77777777" w:rsidTr="00BA4A62">
        <w:tc>
          <w:tcPr>
            <w:tcW w:w="389" w:type="dxa"/>
          </w:tcPr>
          <w:p w14:paraId="50F89B0C" w14:textId="77777777" w:rsidR="00554234" w:rsidRPr="00417D17" w:rsidRDefault="00554234" w:rsidP="00BA4A62">
            <w:pPr>
              <w:rPr>
                <w:rFonts w:ascii="Arial" w:hAnsi="Arial" w:cs="Arial"/>
                <w:sz w:val="20"/>
                <w:szCs w:val="20"/>
              </w:rPr>
            </w:pPr>
            <w:r w:rsidRPr="00417D17">
              <w:rPr>
                <w:rFonts w:ascii="Arial" w:hAnsi="Arial" w:cs="Arial"/>
                <w:sz w:val="20"/>
                <w:szCs w:val="20"/>
              </w:rPr>
              <w:t>ii</w:t>
            </w:r>
          </w:p>
        </w:tc>
        <w:tc>
          <w:tcPr>
            <w:tcW w:w="2486" w:type="dxa"/>
          </w:tcPr>
          <w:p w14:paraId="6C60FFFC" w14:textId="77777777" w:rsidR="00554234" w:rsidRPr="00417D17" w:rsidRDefault="00554234" w:rsidP="00BA4A62">
            <w:pPr>
              <w:rPr>
                <w:rFonts w:ascii="Arial" w:hAnsi="Arial" w:cs="Arial"/>
                <w:sz w:val="20"/>
                <w:szCs w:val="20"/>
              </w:rPr>
            </w:pPr>
            <w:r w:rsidRPr="00417D17">
              <w:rPr>
                <w:rFonts w:ascii="Arial" w:hAnsi="Arial" w:cs="Arial"/>
                <w:sz w:val="20"/>
                <w:szCs w:val="20"/>
              </w:rPr>
              <w:t>Expenses – Commodity: Charge Type 101 (i.e. is expense based on IESO invoice at year end)</w:t>
            </w:r>
          </w:p>
        </w:tc>
        <w:tc>
          <w:tcPr>
            <w:tcW w:w="1350" w:type="dxa"/>
          </w:tcPr>
          <w:p w14:paraId="60496493" w14:textId="77777777" w:rsidR="00554234" w:rsidRPr="00417D17" w:rsidRDefault="00554234" w:rsidP="00BA4A62">
            <w:pPr>
              <w:rPr>
                <w:rFonts w:ascii="Arial" w:hAnsi="Arial" w:cs="Arial"/>
                <w:sz w:val="20"/>
                <w:szCs w:val="20"/>
              </w:rPr>
            </w:pPr>
          </w:p>
        </w:tc>
        <w:tc>
          <w:tcPr>
            <w:tcW w:w="4230" w:type="dxa"/>
          </w:tcPr>
          <w:p w14:paraId="7AA44952" w14:textId="77777777" w:rsidR="00554234" w:rsidRPr="00417D17" w:rsidRDefault="00554234" w:rsidP="00BA4A62">
            <w:pPr>
              <w:rPr>
                <w:rFonts w:ascii="Arial" w:hAnsi="Arial" w:cs="Arial"/>
                <w:sz w:val="20"/>
                <w:szCs w:val="20"/>
              </w:rPr>
            </w:pPr>
          </w:p>
        </w:tc>
        <w:tc>
          <w:tcPr>
            <w:tcW w:w="1980" w:type="dxa"/>
          </w:tcPr>
          <w:p w14:paraId="0B9DBA8A" w14:textId="77777777" w:rsidR="00554234" w:rsidRPr="00417D17" w:rsidRDefault="00554234" w:rsidP="00BA4A62">
            <w:pPr>
              <w:rPr>
                <w:rFonts w:ascii="Arial" w:hAnsi="Arial" w:cs="Arial"/>
                <w:sz w:val="20"/>
                <w:szCs w:val="20"/>
              </w:rPr>
            </w:pPr>
          </w:p>
        </w:tc>
      </w:tr>
      <w:tr w:rsidR="00554234" w:rsidRPr="00417D17" w14:paraId="1834A28C" w14:textId="77777777" w:rsidTr="00BA4A62">
        <w:trPr>
          <w:trHeight w:val="1628"/>
        </w:trPr>
        <w:tc>
          <w:tcPr>
            <w:tcW w:w="389" w:type="dxa"/>
          </w:tcPr>
          <w:p w14:paraId="42FE6BE5" w14:textId="77777777" w:rsidR="00554234" w:rsidRPr="00417D17" w:rsidRDefault="00554234" w:rsidP="00BA4A62">
            <w:pPr>
              <w:rPr>
                <w:rFonts w:ascii="Arial" w:hAnsi="Arial" w:cs="Arial"/>
                <w:sz w:val="20"/>
                <w:szCs w:val="20"/>
              </w:rPr>
            </w:pPr>
            <w:r w:rsidRPr="00417D17">
              <w:rPr>
                <w:rFonts w:ascii="Arial" w:hAnsi="Arial" w:cs="Arial"/>
                <w:sz w:val="20"/>
                <w:szCs w:val="20"/>
              </w:rPr>
              <w:t>ijj</w:t>
            </w:r>
          </w:p>
        </w:tc>
        <w:tc>
          <w:tcPr>
            <w:tcW w:w="2486" w:type="dxa"/>
          </w:tcPr>
          <w:p w14:paraId="357E02FD" w14:textId="77777777" w:rsidR="00554234" w:rsidRPr="00417D17" w:rsidRDefault="00554234" w:rsidP="00BA4A62">
            <w:pPr>
              <w:rPr>
                <w:rFonts w:ascii="Arial" w:hAnsi="Arial" w:cs="Arial"/>
                <w:sz w:val="20"/>
                <w:szCs w:val="20"/>
              </w:rPr>
            </w:pPr>
            <w:r w:rsidRPr="00417D17">
              <w:rPr>
                <w:rFonts w:ascii="Arial" w:hAnsi="Arial" w:cs="Arial"/>
                <w:sz w:val="20"/>
                <w:szCs w:val="20"/>
              </w:rPr>
              <w:t>Expenses - GA RPP: Charge Type 148 with respect to the quantum dollar amount (i.e. is expense based on IESO invoice at year end)</w:t>
            </w:r>
          </w:p>
        </w:tc>
        <w:tc>
          <w:tcPr>
            <w:tcW w:w="1350" w:type="dxa"/>
          </w:tcPr>
          <w:p w14:paraId="3E4572BC" w14:textId="77777777" w:rsidR="00554234" w:rsidRPr="00417D17" w:rsidRDefault="00554234" w:rsidP="00BA4A62">
            <w:pPr>
              <w:rPr>
                <w:rFonts w:ascii="Arial" w:hAnsi="Arial" w:cs="Arial"/>
                <w:sz w:val="20"/>
                <w:szCs w:val="20"/>
              </w:rPr>
            </w:pPr>
          </w:p>
        </w:tc>
        <w:tc>
          <w:tcPr>
            <w:tcW w:w="4230" w:type="dxa"/>
          </w:tcPr>
          <w:p w14:paraId="094F7370" w14:textId="77777777" w:rsidR="00554234" w:rsidRPr="00417D17" w:rsidRDefault="00554234" w:rsidP="00BA4A62">
            <w:pPr>
              <w:rPr>
                <w:rFonts w:ascii="Arial" w:hAnsi="Arial" w:cs="Arial"/>
                <w:sz w:val="20"/>
                <w:szCs w:val="20"/>
              </w:rPr>
            </w:pPr>
          </w:p>
        </w:tc>
        <w:tc>
          <w:tcPr>
            <w:tcW w:w="1980" w:type="dxa"/>
          </w:tcPr>
          <w:p w14:paraId="480C3AB2" w14:textId="77777777" w:rsidR="00554234" w:rsidRPr="00417D17" w:rsidRDefault="00554234" w:rsidP="00BA4A62">
            <w:pPr>
              <w:rPr>
                <w:rFonts w:ascii="Arial" w:hAnsi="Arial" w:cs="Arial"/>
                <w:sz w:val="20"/>
                <w:szCs w:val="20"/>
              </w:rPr>
            </w:pPr>
          </w:p>
        </w:tc>
      </w:tr>
      <w:tr w:rsidR="00554234" w:rsidRPr="00417D17" w14:paraId="38C0518B" w14:textId="77777777" w:rsidTr="00BA4A62">
        <w:tc>
          <w:tcPr>
            <w:tcW w:w="389" w:type="dxa"/>
          </w:tcPr>
          <w:p w14:paraId="364C8D35" w14:textId="77777777" w:rsidR="00554234" w:rsidRPr="00417D17" w:rsidRDefault="00554234" w:rsidP="00BA4A62">
            <w:pPr>
              <w:rPr>
                <w:rFonts w:ascii="Arial" w:hAnsi="Arial" w:cs="Arial"/>
                <w:sz w:val="20"/>
                <w:szCs w:val="20"/>
              </w:rPr>
            </w:pPr>
            <w:r w:rsidRPr="00417D17">
              <w:rPr>
                <w:rFonts w:ascii="Arial" w:hAnsi="Arial" w:cs="Arial"/>
                <w:sz w:val="20"/>
                <w:szCs w:val="20"/>
              </w:rPr>
              <w:t>iv</w:t>
            </w:r>
          </w:p>
        </w:tc>
        <w:tc>
          <w:tcPr>
            <w:tcW w:w="2486" w:type="dxa"/>
          </w:tcPr>
          <w:p w14:paraId="31D1F482" w14:textId="77777777" w:rsidR="00554234" w:rsidRPr="00417D17" w:rsidRDefault="00554234" w:rsidP="00BA4A62">
            <w:pPr>
              <w:rPr>
                <w:rFonts w:ascii="Arial" w:hAnsi="Arial" w:cs="Arial"/>
                <w:sz w:val="20"/>
                <w:szCs w:val="20"/>
              </w:rPr>
            </w:pPr>
            <w:r w:rsidRPr="00417D17">
              <w:rPr>
                <w:rFonts w:ascii="Arial" w:hAnsi="Arial" w:cs="Arial"/>
                <w:sz w:val="20"/>
                <w:szCs w:val="20"/>
              </w:rPr>
              <w:t>Expenses - GA RPP: Charge Type 148 with respect to the RPP/non-RPP kWh volume proportions.</w:t>
            </w:r>
          </w:p>
        </w:tc>
        <w:tc>
          <w:tcPr>
            <w:tcW w:w="1350" w:type="dxa"/>
          </w:tcPr>
          <w:p w14:paraId="5E9DF94A" w14:textId="77777777" w:rsidR="00554234" w:rsidRPr="00417D17" w:rsidRDefault="00554234" w:rsidP="00BA4A62">
            <w:pPr>
              <w:rPr>
                <w:rFonts w:ascii="Arial" w:hAnsi="Arial" w:cs="Arial"/>
                <w:sz w:val="20"/>
                <w:szCs w:val="20"/>
              </w:rPr>
            </w:pPr>
          </w:p>
        </w:tc>
        <w:tc>
          <w:tcPr>
            <w:tcW w:w="4230" w:type="dxa"/>
          </w:tcPr>
          <w:p w14:paraId="6D717275" w14:textId="77777777" w:rsidR="00554234" w:rsidRPr="00417D17" w:rsidRDefault="00554234" w:rsidP="00BA4A62">
            <w:pPr>
              <w:rPr>
                <w:rFonts w:ascii="Arial" w:hAnsi="Arial" w:cs="Arial"/>
                <w:sz w:val="20"/>
                <w:szCs w:val="20"/>
              </w:rPr>
            </w:pPr>
          </w:p>
        </w:tc>
        <w:tc>
          <w:tcPr>
            <w:tcW w:w="1980" w:type="dxa"/>
          </w:tcPr>
          <w:p w14:paraId="3440E5E5" w14:textId="77777777" w:rsidR="00554234" w:rsidRPr="00417D17" w:rsidRDefault="00554234" w:rsidP="00BA4A62">
            <w:pPr>
              <w:rPr>
                <w:rFonts w:ascii="Arial" w:hAnsi="Arial" w:cs="Arial"/>
                <w:sz w:val="20"/>
                <w:szCs w:val="20"/>
              </w:rPr>
            </w:pPr>
          </w:p>
        </w:tc>
      </w:tr>
      <w:tr w:rsidR="00554234" w:rsidRPr="00417D17" w14:paraId="62316F8D" w14:textId="77777777" w:rsidTr="00BA4A62">
        <w:tc>
          <w:tcPr>
            <w:tcW w:w="389" w:type="dxa"/>
          </w:tcPr>
          <w:p w14:paraId="450502AF" w14:textId="77777777" w:rsidR="00554234" w:rsidRPr="00417D17" w:rsidRDefault="00554234" w:rsidP="00BA4A62">
            <w:pPr>
              <w:rPr>
                <w:rFonts w:ascii="Arial" w:hAnsi="Arial" w:cs="Arial"/>
                <w:sz w:val="20"/>
                <w:szCs w:val="20"/>
              </w:rPr>
            </w:pPr>
            <w:r w:rsidRPr="00417D17">
              <w:rPr>
                <w:rFonts w:ascii="Arial" w:hAnsi="Arial" w:cs="Arial"/>
                <w:sz w:val="20"/>
                <w:szCs w:val="20"/>
              </w:rPr>
              <w:t>v</w:t>
            </w:r>
          </w:p>
        </w:tc>
        <w:tc>
          <w:tcPr>
            <w:tcW w:w="2486" w:type="dxa"/>
          </w:tcPr>
          <w:p w14:paraId="6C44CE76" w14:textId="77777777" w:rsidR="00554234" w:rsidRPr="00417D17" w:rsidRDefault="00554234" w:rsidP="00BA4A62">
            <w:pPr>
              <w:rPr>
                <w:rFonts w:ascii="Arial" w:hAnsi="Arial" w:cs="Arial"/>
                <w:sz w:val="20"/>
                <w:szCs w:val="20"/>
              </w:rPr>
            </w:pPr>
            <w:r w:rsidRPr="00417D17">
              <w:rPr>
                <w:rFonts w:ascii="Arial" w:hAnsi="Arial" w:cs="Arial"/>
                <w:sz w:val="20"/>
                <w:szCs w:val="20"/>
              </w:rPr>
              <w:t xml:space="preserve">RPP Settlement: Charge Type 142 including any data used for determining the RPP/HOEP/RPP GA </w:t>
            </w:r>
            <w:r w:rsidRPr="00417D17">
              <w:rPr>
                <w:rFonts w:ascii="Arial" w:hAnsi="Arial" w:cs="Arial"/>
                <w:sz w:val="20"/>
                <w:szCs w:val="20"/>
              </w:rPr>
              <w:lastRenderedPageBreak/>
              <w:t>components of  the charge type</w:t>
            </w:r>
          </w:p>
        </w:tc>
        <w:tc>
          <w:tcPr>
            <w:tcW w:w="1350" w:type="dxa"/>
          </w:tcPr>
          <w:p w14:paraId="26B16B5F" w14:textId="77777777" w:rsidR="00554234" w:rsidRPr="00417D17" w:rsidRDefault="00554234" w:rsidP="00BA4A62">
            <w:pPr>
              <w:rPr>
                <w:rFonts w:ascii="Arial" w:hAnsi="Arial" w:cs="Arial"/>
                <w:sz w:val="20"/>
                <w:szCs w:val="20"/>
              </w:rPr>
            </w:pPr>
          </w:p>
        </w:tc>
        <w:tc>
          <w:tcPr>
            <w:tcW w:w="4230" w:type="dxa"/>
          </w:tcPr>
          <w:p w14:paraId="7F70E191" w14:textId="77777777" w:rsidR="00554234" w:rsidRPr="00417D17" w:rsidRDefault="00554234" w:rsidP="00BA4A62">
            <w:pPr>
              <w:rPr>
                <w:rFonts w:ascii="Arial" w:hAnsi="Arial" w:cs="Arial"/>
                <w:sz w:val="20"/>
                <w:szCs w:val="20"/>
              </w:rPr>
            </w:pPr>
          </w:p>
        </w:tc>
        <w:tc>
          <w:tcPr>
            <w:tcW w:w="1980" w:type="dxa"/>
          </w:tcPr>
          <w:p w14:paraId="288A7183" w14:textId="77777777" w:rsidR="00554234" w:rsidRPr="00417D17" w:rsidRDefault="00554234" w:rsidP="00BA4A62">
            <w:pPr>
              <w:rPr>
                <w:rFonts w:ascii="Arial" w:hAnsi="Arial" w:cs="Arial"/>
                <w:sz w:val="20"/>
                <w:szCs w:val="20"/>
              </w:rPr>
            </w:pPr>
          </w:p>
        </w:tc>
      </w:tr>
    </w:tbl>
    <w:p w14:paraId="1D916092" w14:textId="77777777" w:rsidR="00554234" w:rsidRPr="00417D17" w:rsidRDefault="00554234" w:rsidP="00554234">
      <w:pPr>
        <w:rPr>
          <w:rFonts w:ascii="Arial" w:hAnsi="Arial" w:cs="Arial"/>
          <w:b/>
          <w:bCs/>
          <w:i/>
          <w:sz w:val="24"/>
          <w:szCs w:val="24"/>
        </w:rPr>
      </w:pPr>
    </w:p>
    <w:p w14:paraId="6D328D8A" w14:textId="77777777" w:rsidR="00554234" w:rsidRPr="00417D17" w:rsidRDefault="00554234" w:rsidP="00D2405E">
      <w:pPr>
        <w:pStyle w:val="ListParagraph"/>
        <w:numPr>
          <w:ilvl w:val="0"/>
          <w:numId w:val="3"/>
        </w:numPr>
        <w:spacing w:after="0"/>
        <w:rPr>
          <w:rFonts w:ascii="Arial" w:hAnsi="Arial" w:cs="Arial"/>
          <w:b/>
          <w:sz w:val="24"/>
          <w:szCs w:val="24"/>
        </w:rPr>
      </w:pPr>
      <w:r w:rsidRPr="00417D17">
        <w:rPr>
          <w:rFonts w:ascii="Arial" w:hAnsi="Arial" w:cs="Arial"/>
          <w:sz w:val="24"/>
          <w:szCs w:val="24"/>
        </w:rPr>
        <w:t>For each item in the table above, please confirm that the 2018 Rate Generator Model Tab 3 Continuity Schedule for 2016 have been adjusted for settlement true-ups where settlement was originally based on estimate and trued up to actuals subsequent to 2016.</w:t>
      </w:r>
    </w:p>
    <w:p w14:paraId="34D1A3FF" w14:textId="77777777" w:rsidR="00554234" w:rsidRPr="00417D17" w:rsidRDefault="00554234" w:rsidP="00D2405E">
      <w:pPr>
        <w:spacing w:line="276" w:lineRule="auto"/>
        <w:rPr>
          <w:rFonts w:ascii="Arial" w:hAnsi="Arial" w:cs="Arial"/>
          <w:b/>
          <w:bCs/>
        </w:rPr>
      </w:pPr>
    </w:p>
    <w:p w14:paraId="698D45E6" w14:textId="77777777" w:rsidR="00711F9C" w:rsidRPr="00417D17" w:rsidRDefault="00711F9C" w:rsidP="00711F9C">
      <w:pPr>
        <w:spacing w:line="276" w:lineRule="auto"/>
        <w:rPr>
          <w:rFonts w:ascii="Arial" w:hAnsi="Arial" w:cs="Arial"/>
          <w:b/>
          <w:sz w:val="24"/>
          <w:szCs w:val="24"/>
        </w:rPr>
      </w:pPr>
      <w:r w:rsidRPr="00417D17">
        <w:rPr>
          <w:rFonts w:ascii="Arial" w:hAnsi="Arial" w:cs="Arial"/>
          <w:b/>
          <w:sz w:val="24"/>
          <w:szCs w:val="24"/>
        </w:rPr>
        <w:t>Question #</w:t>
      </w:r>
      <w:r w:rsidR="00417D17" w:rsidRPr="00417D17">
        <w:rPr>
          <w:rFonts w:ascii="Arial" w:hAnsi="Arial" w:cs="Arial"/>
          <w:b/>
          <w:sz w:val="24"/>
          <w:szCs w:val="24"/>
        </w:rPr>
        <w:t>5</w:t>
      </w:r>
    </w:p>
    <w:p w14:paraId="6BBF87B5" w14:textId="77777777" w:rsidR="00711F9C" w:rsidRPr="00417D17" w:rsidRDefault="00711F9C" w:rsidP="00711F9C">
      <w:pPr>
        <w:spacing w:line="276" w:lineRule="auto"/>
        <w:ind w:left="1440" w:hanging="1440"/>
        <w:rPr>
          <w:rFonts w:ascii="Arial" w:hAnsi="Arial" w:cs="Arial"/>
          <w:b/>
          <w:bCs/>
          <w:sz w:val="24"/>
          <w:szCs w:val="24"/>
        </w:rPr>
      </w:pPr>
    </w:p>
    <w:p w14:paraId="2DC60DF6" w14:textId="77777777" w:rsidR="00711F9C" w:rsidRPr="00417D17" w:rsidRDefault="00711F9C" w:rsidP="00711F9C">
      <w:pPr>
        <w:spacing w:line="276" w:lineRule="auto"/>
        <w:ind w:left="1440" w:hanging="1440"/>
        <w:rPr>
          <w:rFonts w:ascii="Arial" w:hAnsi="Arial" w:cs="Arial"/>
          <w:b/>
          <w:bCs/>
          <w:sz w:val="24"/>
          <w:szCs w:val="24"/>
        </w:rPr>
      </w:pPr>
      <w:r w:rsidRPr="00417D17">
        <w:rPr>
          <w:rFonts w:ascii="Arial" w:hAnsi="Arial" w:cs="Arial"/>
          <w:b/>
          <w:bCs/>
          <w:sz w:val="24"/>
          <w:szCs w:val="24"/>
        </w:rPr>
        <w:t>References:</w:t>
      </w:r>
      <w:r w:rsidRPr="00417D17">
        <w:rPr>
          <w:rFonts w:ascii="Arial" w:hAnsi="Arial" w:cs="Arial"/>
          <w:b/>
          <w:bCs/>
          <w:sz w:val="24"/>
          <w:szCs w:val="24"/>
        </w:rPr>
        <w:tab/>
        <w:t>GA Analysis Workform</w:t>
      </w:r>
    </w:p>
    <w:p w14:paraId="22125CBA" w14:textId="77777777" w:rsidR="00554234" w:rsidRPr="00417D17" w:rsidRDefault="00554234" w:rsidP="00711F9C">
      <w:pPr>
        <w:spacing w:line="276" w:lineRule="auto"/>
        <w:rPr>
          <w:rFonts w:ascii="Arial" w:hAnsi="Arial" w:cs="Arial"/>
          <w:b/>
          <w:bCs/>
          <w:sz w:val="24"/>
          <w:szCs w:val="24"/>
        </w:rPr>
      </w:pPr>
    </w:p>
    <w:p w14:paraId="357C148D" w14:textId="77777777" w:rsidR="00554234" w:rsidRPr="00417D17" w:rsidRDefault="00554234" w:rsidP="00711F9C">
      <w:pPr>
        <w:spacing w:line="276" w:lineRule="auto"/>
        <w:rPr>
          <w:rFonts w:ascii="Arial" w:hAnsi="Arial" w:cs="Arial"/>
          <w:sz w:val="24"/>
          <w:szCs w:val="24"/>
        </w:rPr>
      </w:pPr>
      <w:r w:rsidRPr="00417D17">
        <w:rPr>
          <w:rFonts w:ascii="Arial" w:hAnsi="Arial" w:cs="Arial"/>
          <w:sz w:val="24"/>
          <w:szCs w:val="24"/>
        </w:rPr>
        <w:t>The starting point for Note 5 (cell D65) of the GA Analysis Workform must agree to the “Transactions Debit / (Credit)” column in the DVA continuity.  In the GA Analysis Workform submitted by the applicant, the starting point of Note 5 does not agree to the DVA continuity schedule as the balance in the continuity schedule is negative (credit).  Please explain why an alternate balance has been used.  If this was done in error, then please update the GA Analysis Workform accordingly and resubmit.</w:t>
      </w:r>
    </w:p>
    <w:p w14:paraId="06605FEB" w14:textId="77777777" w:rsidR="00711F9C" w:rsidRPr="00417D17" w:rsidRDefault="00711F9C" w:rsidP="00577045">
      <w:pPr>
        <w:spacing w:line="276" w:lineRule="auto"/>
        <w:rPr>
          <w:rFonts w:ascii="Arial" w:hAnsi="Arial" w:cs="Arial"/>
          <w:b/>
          <w:bCs/>
          <w:sz w:val="24"/>
          <w:szCs w:val="24"/>
        </w:rPr>
      </w:pPr>
    </w:p>
    <w:p w14:paraId="3A4C8107" w14:textId="77777777" w:rsidR="00711F9C" w:rsidRPr="00417D17" w:rsidRDefault="00711F9C" w:rsidP="00711F9C">
      <w:pPr>
        <w:spacing w:line="276" w:lineRule="auto"/>
        <w:rPr>
          <w:rFonts w:ascii="Arial" w:hAnsi="Arial" w:cs="Arial"/>
          <w:b/>
          <w:sz w:val="24"/>
          <w:szCs w:val="24"/>
        </w:rPr>
      </w:pPr>
      <w:r w:rsidRPr="00417D17">
        <w:rPr>
          <w:rFonts w:ascii="Arial" w:hAnsi="Arial" w:cs="Arial"/>
          <w:b/>
          <w:sz w:val="24"/>
          <w:szCs w:val="24"/>
        </w:rPr>
        <w:t>Question #</w:t>
      </w:r>
      <w:r w:rsidR="00417D17" w:rsidRPr="00417D17">
        <w:rPr>
          <w:rFonts w:ascii="Arial" w:hAnsi="Arial" w:cs="Arial"/>
          <w:b/>
          <w:sz w:val="24"/>
          <w:szCs w:val="24"/>
        </w:rPr>
        <w:t>6</w:t>
      </w:r>
    </w:p>
    <w:p w14:paraId="23FECE66" w14:textId="77777777" w:rsidR="00711F9C" w:rsidRPr="00417D17" w:rsidRDefault="00711F9C" w:rsidP="00711F9C">
      <w:pPr>
        <w:spacing w:line="276" w:lineRule="auto"/>
        <w:ind w:left="1440" w:hanging="1440"/>
        <w:rPr>
          <w:rFonts w:ascii="Arial" w:hAnsi="Arial" w:cs="Arial"/>
          <w:b/>
          <w:bCs/>
          <w:sz w:val="24"/>
          <w:szCs w:val="24"/>
        </w:rPr>
      </w:pPr>
    </w:p>
    <w:p w14:paraId="0140E544" w14:textId="77777777" w:rsidR="00711F9C" w:rsidRPr="00417D17" w:rsidRDefault="00711F9C" w:rsidP="00711F9C">
      <w:pPr>
        <w:spacing w:line="276" w:lineRule="auto"/>
        <w:ind w:left="1440" w:hanging="1440"/>
        <w:rPr>
          <w:rFonts w:ascii="Arial" w:hAnsi="Arial" w:cs="Arial"/>
          <w:b/>
          <w:bCs/>
          <w:sz w:val="24"/>
          <w:szCs w:val="24"/>
        </w:rPr>
      </w:pPr>
      <w:r w:rsidRPr="00417D17">
        <w:rPr>
          <w:rFonts w:ascii="Arial" w:hAnsi="Arial" w:cs="Arial"/>
          <w:b/>
          <w:bCs/>
          <w:sz w:val="24"/>
          <w:szCs w:val="24"/>
        </w:rPr>
        <w:t>References:</w:t>
      </w:r>
      <w:r w:rsidRPr="00417D17">
        <w:rPr>
          <w:rFonts w:ascii="Arial" w:hAnsi="Arial" w:cs="Arial"/>
          <w:b/>
          <w:bCs/>
          <w:sz w:val="24"/>
          <w:szCs w:val="24"/>
        </w:rPr>
        <w:tab/>
        <w:t>GA Analysis Workform</w:t>
      </w:r>
    </w:p>
    <w:p w14:paraId="31A81CBF" w14:textId="77777777" w:rsidR="00711F9C" w:rsidRPr="00417D17" w:rsidRDefault="00711F9C" w:rsidP="00711F9C">
      <w:pPr>
        <w:spacing w:line="276" w:lineRule="auto"/>
        <w:rPr>
          <w:rFonts w:ascii="Arial" w:hAnsi="Arial" w:cs="Arial"/>
          <w:b/>
          <w:bCs/>
          <w:sz w:val="24"/>
          <w:szCs w:val="24"/>
        </w:rPr>
      </w:pPr>
    </w:p>
    <w:p w14:paraId="1963AA53" w14:textId="77777777" w:rsidR="00554234" w:rsidRPr="00417D17" w:rsidRDefault="00554234" w:rsidP="00711F9C">
      <w:pPr>
        <w:spacing w:line="276" w:lineRule="auto"/>
        <w:rPr>
          <w:rFonts w:ascii="Arial" w:hAnsi="Arial" w:cs="Arial"/>
          <w:sz w:val="24"/>
          <w:szCs w:val="24"/>
        </w:rPr>
      </w:pPr>
      <w:r w:rsidRPr="00417D17">
        <w:rPr>
          <w:rFonts w:ascii="Arial" w:hAnsi="Arial" w:cs="Arial"/>
          <w:sz w:val="24"/>
          <w:szCs w:val="24"/>
        </w:rPr>
        <w:t>Please further explain adjustment 6 of Note 5 of the GA Analysis Workform. </w:t>
      </w:r>
      <w:r w:rsidR="00083D7F" w:rsidRPr="00417D17">
        <w:rPr>
          <w:rFonts w:ascii="Arial" w:hAnsi="Arial" w:cs="Arial"/>
          <w:sz w:val="24"/>
          <w:szCs w:val="24"/>
        </w:rPr>
        <w:t>It is unclear what this reconciling item is for.</w:t>
      </w:r>
      <w:r w:rsidRPr="00417D17">
        <w:rPr>
          <w:rFonts w:ascii="Arial" w:hAnsi="Arial" w:cs="Arial"/>
          <w:sz w:val="24"/>
          <w:szCs w:val="24"/>
        </w:rPr>
        <w:t xml:space="preserve"> </w:t>
      </w:r>
      <w:r w:rsidR="00083D7F" w:rsidRPr="00417D17">
        <w:rPr>
          <w:rFonts w:ascii="Arial" w:hAnsi="Arial" w:cs="Arial"/>
          <w:sz w:val="24"/>
          <w:szCs w:val="24"/>
        </w:rPr>
        <w:t>Also</w:t>
      </w:r>
      <w:r w:rsidRPr="00417D17">
        <w:rPr>
          <w:rFonts w:ascii="Arial" w:hAnsi="Arial" w:cs="Arial"/>
          <w:sz w:val="24"/>
          <w:szCs w:val="24"/>
        </w:rPr>
        <w:t xml:space="preserve"> confirm that </w:t>
      </w:r>
      <w:r w:rsidR="00083D7F" w:rsidRPr="00417D17">
        <w:rPr>
          <w:rFonts w:ascii="Arial" w:hAnsi="Arial" w:cs="Arial"/>
          <w:sz w:val="24"/>
          <w:szCs w:val="24"/>
        </w:rPr>
        <w:t xml:space="preserve">the </w:t>
      </w:r>
      <w:r w:rsidRPr="00417D17">
        <w:rPr>
          <w:rFonts w:ascii="Arial" w:hAnsi="Arial" w:cs="Arial"/>
          <w:sz w:val="24"/>
          <w:szCs w:val="24"/>
        </w:rPr>
        <w:t>G/L for 2016 reflects the actual invoices billed by the IESO.</w:t>
      </w:r>
      <w:r w:rsidR="00083D7F" w:rsidRPr="00417D17">
        <w:rPr>
          <w:rFonts w:ascii="Arial" w:hAnsi="Arial" w:cs="Arial"/>
          <w:sz w:val="24"/>
          <w:szCs w:val="24"/>
        </w:rPr>
        <w:t xml:space="preserve"> </w:t>
      </w:r>
    </w:p>
    <w:p w14:paraId="0AC07621" w14:textId="77777777" w:rsidR="00F55468" w:rsidRPr="00417D17" w:rsidRDefault="00F55468" w:rsidP="00D2405E">
      <w:pPr>
        <w:spacing w:line="276" w:lineRule="auto"/>
      </w:pPr>
    </w:p>
    <w:p w14:paraId="148091BE" w14:textId="77777777" w:rsidR="00417D17" w:rsidRPr="00417D17" w:rsidRDefault="00417D17" w:rsidP="00417D17">
      <w:pPr>
        <w:spacing w:line="276" w:lineRule="auto"/>
        <w:rPr>
          <w:rFonts w:ascii="Arial" w:hAnsi="Arial" w:cs="Arial"/>
          <w:b/>
          <w:sz w:val="24"/>
          <w:szCs w:val="24"/>
        </w:rPr>
      </w:pPr>
      <w:r w:rsidRPr="00417D17">
        <w:rPr>
          <w:rFonts w:ascii="Arial" w:hAnsi="Arial" w:cs="Arial"/>
          <w:b/>
          <w:sz w:val="24"/>
          <w:szCs w:val="24"/>
        </w:rPr>
        <w:t>Question #7</w:t>
      </w:r>
      <w:bookmarkStart w:id="0" w:name="_GoBack"/>
      <w:bookmarkEnd w:id="0"/>
    </w:p>
    <w:p w14:paraId="2363D545" w14:textId="77777777" w:rsidR="00417D17" w:rsidRPr="00417D17" w:rsidRDefault="00417D17" w:rsidP="00417D17">
      <w:pPr>
        <w:spacing w:line="276" w:lineRule="auto"/>
        <w:ind w:left="1440" w:hanging="1440"/>
        <w:rPr>
          <w:rFonts w:ascii="Arial" w:hAnsi="Arial" w:cs="Arial"/>
          <w:b/>
          <w:bCs/>
          <w:sz w:val="24"/>
          <w:szCs w:val="24"/>
        </w:rPr>
      </w:pPr>
    </w:p>
    <w:p w14:paraId="47F96C7B" w14:textId="77777777" w:rsidR="00417D17" w:rsidRPr="00417D17" w:rsidRDefault="00417D17" w:rsidP="00417D17">
      <w:pPr>
        <w:spacing w:line="276" w:lineRule="auto"/>
        <w:ind w:left="1440" w:hanging="1440"/>
        <w:rPr>
          <w:rFonts w:ascii="Arial" w:hAnsi="Arial" w:cs="Arial"/>
          <w:b/>
          <w:bCs/>
          <w:sz w:val="24"/>
          <w:szCs w:val="24"/>
        </w:rPr>
      </w:pPr>
      <w:r w:rsidRPr="00417D17">
        <w:rPr>
          <w:rFonts w:ascii="Arial" w:hAnsi="Arial" w:cs="Arial"/>
          <w:b/>
          <w:bCs/>
          <w:sz w:val="24"/>
          <w:szCs w:val="24"/>
        </w:rPr>
        <w:t>References:</w:t>
      </w:r>
      <w:r w:rsidRPr="00417D17">
        <w:rPr>
          <w:rFonts w:ascii="Arial" w:hAnsi="Arial" w:cs="Arial"/>
          <w:b/>
          <w:bCs/>
          <w:sz w:val="24"/>
          <w:szCs w:val="24"/>
        </w:rPr>
        <w:tab/>
        <w:t>GA Analysis Workform</w:t>
      </w:r>
    </w:p>
    <w:p w14:paraId="46C3738D" w14:textId="77777777" w:rsidR="00417D17" w:rsidRPr="00417D17" w:rsidRDefault="00417D17" w:rsidP="00417D17">
      <w:pPr>
        <w:spacing w:line="276" w:lineRule="auto"/>
        <w:ind w:left="1440" w:hanging="1440"/>
        <w:rPr>
          <w:rFonts w:ascii="Arial" w:hAnsi="Arial" w:cs="Arial"/>
          <w:b/>
          <w:bCs/>
          <w:sz w:val="24"/>
          <w:szCs w:val="24"/>
        </w:rPr>
      </w:pPr>
    </w:p>
    <w:p w14:paraId="5334C7AE" w14:textId="738B9BCC" w:rsidR="00417D17" w:rsidRPr="00417D17" w:rsidRDefault="00417D17" w:rsidP="00417D17">
      <w:pPr>
        <w:spacing w:line="276" w:lineRule="auto"/>
        <w:rPr>
          <w:rFonts w:ascii="Arial" w:hAnsi="Arial" w:cs="Arial"/>
          <w:noProof/>
          <w:sz w:val="24"/>
          <w:szCs w:val="24"/>
        </w:rPr>
      </w:pPr>
      <w:r w:rsidRPr="00E31271">
        <w:rPr>
          <w:rFonts w:ascii="Arial" w:hAnsi="Arial" w:cs="Arial"/>
          <w:noProof/>
          <w:sz w:val="24"/>
          <w:szCs w:val="24"/>
        </w:rPr>
        <w:t xml:space="preserve">Please </w:t>
      </w:r>
      <w:r w:rsidR="00E31271" w:rsidRPr="00E31271">
        <w:rPr>
          <w:rFonts w:ascii="Arial" w:hAnsi="Arial" w:cs="Arial"/>
          <w:noProof/>
          <w:sz w:val="24"/>
          <w:szCs w:val="24"/>
        </w:rPr>
        <w:t>explain and discuss the</w:t>
      </w:r>
      <w:r w:rsidRPr="00E31271">
        <w:rPr>
          <w:rFonts w:ascii="Arial" w:hAnsi="Arial" w:cs="Arial"/>
          <w:noProof/>
          <w:sz w:val="24"/>
          <w:szCs w:val="24"/>
        </w:rPr>
        <w:t xml:space="preserve"> explanations given for the reconciling items 1a and 1b in </w:t>
      </w:r>
      <w:r w:rsidR="00E31271" w:rsidRPr="00E31271">
        <w:rPr>
          <w:rFonts w:ascii="Arial" w:hAnsi="Arial" w:cs="Arial"/>
          <w:noProof/>
          <w:sz w:val="24"/>
          <w:szCs w:val="24"/>
        </w:rPr>
        <w:t xml:space="preserve">Note 5 of </w:t>
      </w:r>
      <w:r w:rsidRPr="00E31271">
        <w:rPr>
          <w:rFonts w:ascii="Arial" w:hAnsi="Arial" w:cs="Arial"/>
          <w:noProof/>
          <w:sz w:val="24"/>
          <w:szCs w:val="24"/>
        </w:rPr>
        <w:t xml:space="preserve">the GA Analysis Workform. </w:t>
      </w:r>
    </w:p>
    <w:p w14:paraId="0617C13D" w14:textId="77777777" w:rsidR="00417D17" w:rsidRPr="00417D17" w:rsidRDefault="00417D17" w:rsidP="00D2405E">
      <w:pPr>
        <w:spacing w:line="276" w:lineRule="auto"/>
        <w:rPr>
          <w:rFonts w:ascii="Arial" w:hAnsi="Arial" w:cs="Arial"/>
          <w:b/>
          <w:sz w:val="24"/>
          <w:szCs w:val="24"/>
        </w:rPr>
      </w:pPr>
    </w:p>
    <w:p w14:paraId="039A4670" w14:textId="77777777" w:rsidR="003E0AF2" w:rsidRPr="00417D17" w:rsidRDefault="003E0AF2" w:rsidP="003E0AF2">
      <w:pPr>
        <w:spacing w:line="276" w:lineRule="auto"/>
        <w:rPr>
          <w:rFonts w:ascii="Arial" w:hAnsi="Arial" w:cs="Arial"/>
          <w:b/>
          <w:sz w:val="24"/>
          <w:szCs w:val="24"/>
        </w:rPr>
      </w:pPr>
      <w:r w:rsidRPr="00417D17">
        <w:rPr>
          <w:rFonts w:ascii="Arial" w:hAnsi="Arial" w:cs="Arial"/>
          <w:b/>
          <w:sz w:val="24"/>
          <w:szCs w:val="24"/>
        </w:rPr>
        <w:t>Question #</w:t>
      </w:r>
      <w:r w:rsidR="00417D17" w:rsidRPr="00417D17">
        <w:rPr>
          <w:rFonts w:ascii="Arial" w:hAnsi="Arial" w:cs="Arial"/>
          <w:b/>
          <w:sz w:val="24"/>
          <w:szCs w:val="24"/>
        </w:rPr>
        <w:t>8</w:t>
      </w:r>
    </w:p>
    <w:p w14:paraId="508CF7CD" w14:textId="77777777" w:rsidR="003E0AF2" w:rsidRPr="00417D17" w:rsidRDefault="003E0AF2" w:rsidP="003E0AF2">
      <w:pPr>
        <w:spacing w:line="276" w:lineRule="auto"/>
        <w:rPr>
          <w:rFonts w:ascii="Arial" w:hAnsi="Arial" w:cs="Arial"/>
          <w:b/>
          <w:sz w:val="24"/>
          <w:szCs w:val="24"/>
        </w:rPr>
      </w:pPr>
    </w:p>
    <w:p w14:paraId="4B0B4764" w14:textId="77777777" w:rsidR="003E0AF2" w:rsidRPr="00417D17" w:rsidRDefault="003E0AF2" w:rsidP="003E0AF2">
      <w:pPr>
        <w:spacing w:line="276" w:lineRule="auto"/>
        <w:rPr>
          <w:rFonts w:ascii="Arial" w:hAnsi="Arial" w:cs="Arial"/>
          <w:b/>
          <w:sz w:val="24"/>
          <w:szCs w:val="24"/>
        </w:rPr>
      </w:pPr>
      <w:r w:rsidRPr="00417D17">
        <w:rPr>
          <w:rFonts w:ascii="Arial" w:hAnsi="Arial" w:cs="Arial"/>
          <w:b/>
          <w:sz w:val="24"/>
          <w:szCs w:val="24"/>
        </w:rPr>
        <w:t xml:space="preserve">References: Tab 3 (Continuity Schedule) of the IRM Model </w:t>
      </w:r>
    </w:p>
    <w:p w14:paraId="0ABEB1F4" w14:textId="77777777" w:rsidR="003E0AF2" w:rsidRPr="00417D17" w:rsidRDefault="003E0AF2" w:rsidP="003E0AF2">
      <w:pPr>
        <w:spacing w:line="276" w:lineRule="auto"/>
        <w:rPr>
          <w:rFonts w:ascii="Arial" w:hAnsi="Arial" w:cs="Arial"/>
          <w:sz w:val="24"/>
          <w:szCs w:val="24"/>
        </w:rPr>
      </w:pPr>
    </w:p>
    <w:p w14:paraId="50BDA353" w14:textId="77777777" w:rsidR="003E0AF2" w:rsidRPr="00417D17" w:rsidRDefault="003E0AF2" w:rsidP="003E0AF2">
      <w:pPr>
        <w:spacing w:line="276" w:lineRule="auto"/>
        <w:rPr>
          <w:rFonts w:ascii="Arial" w:hAnsi="Arial" w:cs="Arial"/>
          <w:sz w:val="24"/>
          <w:szCs w:val="24"/>
        </w:rPr>
      </w:pPr>
      <w:r w:rsidRPr="00417D17">
        <w:rPr>
          <w:rFonts w:ascii="Arial" w:hAnsi="Arial" w:cs="Arial"/>
          <w:sz w:val="24"/>
          <w:szCs w:val="24"/>
        </w:rPr>
        <w:t>Account 1580, sub-account CBR Class A should have a zero balance as of December 31, 2016.  Please explain why this is not the case.</w:t>
      </w:r>
    </w:p>
    <w:p w14:paraId="162F7E26" w14:textId="77777777" w:rsidR="00417D17" w:rsidRPr="00417D17" w:rsidRDefault="00417D17" w:rsidP="003E0AF2"/>
    <w:p w14:paraId="370726DC" w14:textId="77777777" w:rsidR="00F25080" w:rsidRPr="00417D17" w:rsidRDefault="00F25080" w:rsidP="00396202">
      <w:pPr>
        <w:spacing w:line="276" w:lineRule="auto"/>
        <w:rPr>
          <w:rFonts w:ascii="Arial" w:hAnsi="Arial" w:cs="Arial"/>
          <w:b/>
          <w:sz w:val="24"/>
          <w:szCs w:val="24"/>
        </w:rPr>
      </w:pPr>
      <w:r w:rsidRPr="00417D17">
        <w:rPr>
          <w:rFonts w:ascii="Arial" w:hAnsi="Arial" w:cs="Arial"/>
          <w:b/>
          <w:sz w:val="24"/>
          <w:szCs w:val="24"/>
        </w:rPr>
        <w:lastRenderedPageBreak/>
        <w:t>Question #</w:t>
      </w:r>
      <w:r w:rsidR="00417D17" w:rsidRPr="00417D17">
        <w:rPr>
          <w:rFonts w:ascii="Arial" w:hAnsi="Arial" w:cs="Arial"/>
          <w:b/>
          <w:sz w:val="24"/>
          <w:szCs w:val="24"/>
        </w:rPr>
        <w:t>9</w:t>
      </w:r>
    </w:p>
    <w:p w14:paraId="286AA276" w14:textId="77777777" w:rsidR="00F25080" w:rsidRPr="00417D17" w:rsidRDefault="00F25080" w:rsidP="00396202">
      <w:pPr>
        <w:spacing w:line="276" w:lineRule="auto"/>
        <w:rPr>
          <w:rFonts w:ascii="Arial" w:hAnsi="Arial" w:cs="Arial"/>
          <w:b/>
          <w:sz w:val="24"/>
          <w:szCs w:val="24"/>
        </w:rPr>
      </w:pPr>
    </w:p>
    <w:p w14:paraId="1DE748DC" w14:textId="77777777" w:rsidR="00F25080" w:rsidRPr="00417D17" w:rsidRDefault="00F25080" w:rsidP="00396202">
      <w:pPr>
        <w:spacing w:line="276" w:lineRule="auto"/>
        <w:rPr>
          <w:rFonts w:ascii="Arial" w:hAnsi="Arial" w:cs="Arial"/>
          <w:b/>
          <w:sz w:val="24"/>
          <w:szCs w:val="24"/>
        </w:rPr>
      </w:pPr>
      <w:r w:rsidRPr="00417D17">
        <w:rPr>
          <w:rFonts w:ascii="Arial" w:hAnsi="Arial" w:cs="Arial"/>
          <w:b/>
          <w:sz w:val="24"/>
          <w:szCs w:val="24"/>
        </w:rPr>
        <w:t xml:space="preserve">References: Tab 3 (Continuity Schedule) of the IRM Model </w:t>
      </w:r>
    </w:p>
    <w:p w14:paraId="4CE2D80B" w14:textId="77777777" w:rsidR="00F25080" w:rsidRPr="00417D17" w:rsidRDefault="00F25080" w:rsidP="00417D17">
      <w:pPr>
        <w:spacing w:line="276" w:lineRule="auto"/>
        <w:rPr>
          <w:rFonts w:ascii="Arial" w:hAnsi="Arial" w:cs="Arial"/>
          <w:sz w:val="24"/>
          <w:szCs w:val="24"/>
        </w:rPr>
      </w:pPr>
    </w:p>
    <w:p w14:paraId="3586F9B6" w14:textId="5DF530D9" w:rsidR="00F25080" w:rsidRPr="00417D17" w:rsidRDefault="00F25080" w:rsidP="00417D17">
      <w:pPr>
        <w:spacing w:line="276" w:lineRule="auto"/>
        <w:rPr>
          <w:rFonts w:ascii="Arial" w:hAnsi="Arial" w:cs="Arial"/>
          <w:sz w:val="24"/>
          <w:szCs w:val="24"/>
        </w:rPr>
      </w:pPr>
      <w:r w:rsidRPr="00417D17">
        <w:rPr>
          <w:rFonts w:ascii="Arial" w:hAnsi="Arial" w:cs="Arial"/>
          <w:sz w:val="24"/>
          <w:szCs w:val="24"/>
        </w:rPr>
        <w:t xml:space="preserve">Chapter 3 of the Filing Requirements for Electricity Distribution Rate Applications states that applicants are expected to only request disposition of residual balances for vintage Account 1595 Sub-Accounts once and that any vintage Account 1595 Sub-Account is to be disposed only once, on a final basis. No further dispositions of these accounts are expected thereafter unless justified by the distributor.  Please </w:t>
      </w:r>
      <w:r w:rsidR="00A77084" w:rsidRPr="00417D17">
        <w:rPr>
          <w:rFonts w:ascii="Arial" w:hAnsi="Arial" w:cs="Arial"/>
          <w:sz w:val="24"/>
          <w:szCs w:val="24"/>
        </w:rPr>
        <w:t xml:space="preserve">explain </w:t>
      </w:r>
      <w:r w:rsidR="003C057D">
        <w:rPr>
          <w:rFonts w:ascii="Arial" w:hAnsi="Arial" w:cs="Arial"/>
          <w:sz w:val="24"/>
          <w:szCs w:val="24"/>
        </w:rPr>
        <w:t>and discuss why there is still a balance and why disposition is being sought for 2012, 2013, and 2014.</w:t>
      </w:r>
    </w:p>
    <w:p w14:paraId="16267B2F" w14:textId="77777777" w:rsidR="00417D17" w:rsidRPr="00417D17" w:rsidRDefault="00417D17" w:rsidP="00D2405E">
      <w:pPr>
        <w:spacing w:line="276" w:lineRule="auto"/>
        <w:rPr>
          <w:rFonts w:ascii="Arial" w:hAnsi="Arial" w:cs="Arial"/>
          <w:sz w:val="24"/>
          <w:szCs w:val="24"/>
        </w:rPr>
      </w:pPr>
    </w:p>
    <w:p w14:paraId="5D50792A" w14:textId="77777777" w:rsidR="00A77084" w:rsidRPr="00417D17" w:rsidRDefault="00A77084" w:rsidP="00417D17">
      <w:pPr>
        <w:spacing w:line="276" w:lineRule="auto"/>
        <w:rPr>
          <w:rFonts w:ascii="Arial" w:hAnsi="Arial" w:cs="Arial"/>
          <w:b/>
          <w:sz w:val="24"/>
          <w:szCs w:val="24"/>
        </w:rPr>
      </w:pPr>
      <w:r w:rsidRPr="00417D17">
        <w:rPr>
          <w:rFonts w:ascii="Arial" w:hAnsi="Arial" w:cs="Arial"/>
          <w:b/>
          <w:sz w:val="24"/>
          <w:szCs w:val="24"/>
        </w:rPr>
        <w:t>Question #</w:t>
      </w:r>
      <w:r w:rsidR="00417D17" w:rsidRPr="00417D17">
        <w:rPr>
          <w:rFonts w:ascii="Arial" w:hAnsi="Arial" w:cs="Arial"/>
          <w:b/>
          <w:sz w:val="24"/>
          <w:szCs w:val="24"/>
        </w:rPr>
        <w:t>10</w:t>
      </w:r>
    </w:p>
    <w:p w14:paraId="734517D9" w14:textId="77777777" w:rsidR="00A77084" w:rsidRPr="00417D17" w:rsidRDefault="00A77084" w:rsidP="00417D17">
      <w:pPr>
        <w:spacing w:line="276" w:lineRule="auto"/>
        <w:rPr>
          <w:rFonts w:ascii="Arial" w:hAnsi="Arial" w:cs="Arial"/>
          <w:b/>
          <w:sz w:val="24"/>
          <w:szCs w:val="24"/>
        </w:rPr>
      </w:pPr>
    </w:p>
    <w:p w14:paraId="3CB0C6A2" w14:textId="77777777" w:rsidR="00F25080" w:rsidRPr="00417D17" w:rsidRDefault="00A77084" w:rsidP="00417D17">
      <w:pPr>
        <w:spacing w:line="276" w:lineRule="auto"/>
        <w:rPr>
          <w:rFonts w:ascii="Arial" w:hAnsi="Arial" w:cs="Arial"/>
          <w:sz w:val="24"/>
          <w:szCs w:val="24"/>
        </w:rPr>
      </w:pPr>
      <w:r w:rsidRPr="00417D17">
        <w:rPr>
          <w:rFonts w:ascii="Arial" w:hAnsi="Arial" w:cs="Arial"/>
          <w:b/>
          <w:sz w:val="24"/>
          <w:szCs w:val="24"/>
        </w:rPr>
        <w:t>References: Tab 3 (Continuity Schedule) of the IRM Model</w:t>
      </w:r>
    </w:p>
    <w:p w14:paraId="64C116C8" w14:textId="77777777" w:rsidR="00F25080" w:rsidRPr="00417D17" w:rsidRDefault="00F25080" w:rsidP="00417D17">
      <w:pPr>
        <w:spacing w:line="276" w:lineRule="auto"/>
        <w:rPr>
          <w:rFonts w:ascii="Arial" w:hAnsi="Arial" w:cs="Arial"/>
          <w:sz w:val="24"/>
          <w:szCs w:val="24"/>
        </w:rPr>
      </w:pPr>
    </w:p>
    <w:p w14:paraId="5E93E001" w14:textId="77777777" w:rsidR="00D933C1" w:rsidRPr="00417D17" w:rsidRDefault="00A77084" w:rsidP="00417D17">
      <w:pPr>
        <w:spacing w:line="276" w:lineRule="auto"/>
        <w:rPr>
          <w:rFonts w:ascii="Arial" w:hAnsi="Arial" w:cs="Arial"/>
          <w:sz w:val="24"/>
          <w:szCs w:val="24"/>
        </w:rPr>
      </w:pPr>
      <w:r w:rsidRPr="00417D17">
        <w:rPr>
          <w:rFonts w:ascii="Arial" w:hAnsi="Arial" w:cs="Arial"/>
          <w:sz w:val="24"/>
          <w:szCs w:val="24"/>
        </w:rPr>
        <w:t>The</w:t>
      </w:r>
      <w:r w:rsidR="00D933C1" w:rsidRPr="00417D17">
        <w:rPr>
          <w:rFonts w:ascii="Arial" w:hAnsi="Arial" w:cs="Arial"/>
          <w:sz w:val="24"/>
          <w:szCs w:val="24"/>
        </w:rPr>
        <w:t xml:space="preserve"> 2015</w:t>
      </w:r>
      <w:r w:rsidRPr="00417D17">
        <w:rPr>
          <w:rFonts w:ascii="Arial" w:hAnsi="Arial" w:cs="Arial"/>
          <w:sz w:val="24"/>
          <w:szCs w:val="24"/>
        </w:rPr>
        <w:t xml:space="preserve"> balance in Account 1595 Sub-</w:t>
      </w:r>
      <w:r w:rsidR="00417D17" w:rsidRPr="00417D17">
        <w:rPr>
          <w:rFonts w:ascii="Arial" w:hAnsi="Arial" w:cs="Arial"/>
          <w:sz w:val="24"/>
          <w:szCs w:val="24"/>
        </w:rPr>
        <w:t xml:space="preserve">Account </w:t>
      </w:r>
      <w:r w:rsidRPr="00417D17">
        <w:rPr>
          <w:rFonts w:ascii="Arial" w:hAnsi="Arial" w:cs="Arial"/>
          <w:sz w:val="24"/>
          <w:szCs w:val="24"/>
        </w:rPr>
        <w:t>shows a</w:t>
      </w:r>
      <w:r w:rsidR="004C73C4" w:rsidRPr="00417D17">
        <w:rPr>
          <w:rFonts w:ascii="Arial" w:hAnsi="Arial" w:cs="Arial"/>
          <w:sz w:val="24"/>
          <w:szCs w:val="24"/>
        </w:rPr>
        <w:t xml:space="preserve"> significant under-recovery. </w:t>
      </w:r>
      <w:r w:rsidRPr="00417D17">
        <w:rPr>
          <w:rFonts w:ascii="Arial" w:hAnsi="Arial" w:cs="Arial"/>
          <w:sz w:val="24"/>
          <w:szCs w:val="24"/>
        </w:rPr>
        <w:t xml:space="preserve">Please </w:t>
      </w:r>
      <w:r w:rsidR="004C73C4" w:rsidRPr="00417D17">
        <w:rPr>
          <w:rFonts w:ascii="Arial" w:hAnsi="Arial" w:cs="Arial"/>
          <w:sz w:val="24"/>
          <w:szCs w:val="24"/>
        </w:rPr>
        <w:t xml:space="preserve">reconcile the under-recovery </w:t>
      </w:r>
      <w:r w:rsidRPr="00417D17">
        <w:rPr>
          <w:rFonts w:ascii="Arial" w:hAnsi="Arial" w:cs="Arial"/>
          <w:sz w:val="24"/>
          <w:szCs w:val="24"/>
        </w:rPr>
        <w:t xml:space="preserve">by </w:t>
      </w:r>
      <w:r w:rsidR="004C73C4" w:rsidRPr="00417D17">
        <w:rPr>
          <w:rFonts w:ascii="Arial" w:hAnsi="Arial" w:cs="Arial"/>
          <w:sz w:val="24"/>
          <w:szCs w:val="24"/>
        </w:rPr>
        <w:t>produc</w:t>
      </w:r>
      <w:r w:rsidRPr="00417D17">
        <w:rPr>
          <w:rFonts w:ascii="Arial" w:hAnsi="Arial" w:cs="Arial"/>
          <w:sz w:val="24"/>
          <w:szCs w:val="24"/>
        </w:rPr>
        <w:t>ing</w:t>
      </w:r>
      <w:r w:rsidR="004C73C4" w:rsidRPr="00417D17">
        <w:rPr>
          <w:rFonts w:ascii="Arial" w:hAnsi="Arial" w:cs="Arial"/>
          <w:sz w:val="24"/>
          <w:szCs w:val="24"/>
        </w:rPr>
        <w:t xml:space="preserve"> </w:t>
      </w:r>
      <w:r w:rsidR="00417D17" w:rsidRPr="00417D17">
        <w:rPr>
          <w:rFonts w:ascii="Arial" w:hAnsi="Arial" w:cs="Arial"/>
          <w:sz w:val="24"/>
          <w:szCs w:val="24"/>
        </w:rPr>
        <w:t xml:space="preserve">i) </w:t>
      </w:r>
      <w:r w:rsidR="004C73C4" w:rsidRPr="00417D17">
        <w:rPr>
          <w:rFonts w:ascii="Arial" w:hAnsi="Arial" w:cs="Arial"/>
          <w:sz w:val="24"/>
          <w:szCs w:val="24"/>
        </w:rPr>
        <w:t xml:space="preserve">a table that provides the amount of the original amount approved for principal and interest, and </w:t>
      </w:r>
      <w:r w:rsidR="00417D17" w:rsidRPr="00417D17">
        <w:rPr>
          <w:rFonts w:ascii="Arial" w:hAnsi="Arial" w:cs="Arial"/>
          <w:sz w:val="24"/>
          <w:szCs w:val="24"/>
        </w:rPr>
        <w:t xml:space="preserve">ii) </w:t>
      </w:r>
      <w:r w:rsidR="004C73C4" w:rsidRPr="00417D17">
        <w:rPr>
          <w:rFonts w:ascii="Arial" w:hAnsi="Arial" w:cs="Arial"/>
          <w:sz w:val="24"/>
          <w:szCs w:val="24"/>
        </w:rPr>
        <w:t xml:space="preserve">a table that shows the volumes billed </w:t>
      </w:r>
      <w:r w:rsidRPr="00417D17">
        <w:rPr>
          <w:rFonts w:ascii="Arial" w:hAnsi="Arial" w:cs="Arial"/>
          <w:sz w:val="24"/>
          <w:szCs w:val="24"/>
        </w:rPr>
        <w:t>multiplied by</w:t>
      </w:r>
      <w:r w:rsidR="004C73C4" w:rsidRPr="00417D17">
        <w:rPr>
          <w:rFonts w:ascii="Arial" w:hAnsi="Arial" w:cs="Arial"/>
          <w:sz w:val="24"/>
          <w:szCs w:val="24"/>
        </w:rPr>
        <w:t xml:space="preserve"> the rate rider to reconcile the total recovery</w:t>
      </w:r>
      <w:r w:rsidR="00417D17" w:rsidRPr="00417D17">
        <w:rPr>
          <w:rFonts w:ascii="Arial" w:hAnsi="Arial" w:cs="Arial"/>
          <w:sz w:val="24"/>
          <w:szCs w:val="24"/>
        </w:rPr>
        <w:t>, which will show</w:t>
      </w:r>
      <w:r w:rsidR="004C73C4" w:rsidRPr="00417D17">
        <w:rPr>
          <w:rFonts w:ascii="Arial" w:hAnsi="Arial" w:cs="Arial"/>
          <w:sz w:val="24"/>
          <w:szCs w:val="24"/>
        </w:rPr>
        <w:t xml:space="preserve"> the balance being requested for disposition.</w:t>
      </w:r>
    </w:p>
    <w:p w14:paraId="6A056F09" w14:textId="77777777" w:rsidR="00D933C1" w:rsidRDefault="00D933C1" w:rsidP="003E0AF2"/>
    <w:p w14:paraId="6D81A2F4" w14:textId="77777777" w:rsidR="00083D7F" w:rsidRDefault="00083D7F" w:rsidP="003E0AF2">
      <w:pPr>
        <w:rPr>
          <w:noProof/>
        </w:rPr>
      </w:pPr>
    </w:p>
    <w:p w14:paraId="2155600E" w14:textId="77777777" w:rsidR="00083D7F" w:rsidRDefault="00083D7F" w:rsidP="003E0AF2">
      <w:pPr>
        <w:rPr>
          <w:noProof/>
        </w:rPr>
      </w:pPr>
    </w:p>
    <w:p w14:paraId="6352C4D6" w14:textId="77777777" w:rsidR="00D933C1" w:rsidRDefault="00D933C1" w:rsidP="003E0AF2"/>
    <w:sectPr w:rsidR="00D933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28200" w14:textId="77777777" w:rsidR="00F45906" w:rsidRDefault="00F45906" w:rsidP="00554234">
      <w:r>
        <w:separator/>
      </w:r>
    </w:p>
  </w:endnote>
  <w:endnote w:type="continuationSeparator" w:id="0">
    <w:p w14:paraId="73A90077" w14:textId="77777777" w:rsidR="00F45906" w:rsidRDefault="00F45906" w:rsidP="0055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788301"/>
      <w:docPartObj>
        <w:docPartGallery w:val="Page Numbers (Bottom of Page)"/>
        <w:docPartUnique/>
      </w:docPartObj>
    </w:sdtPr>
    <w:sdtEndPr/>
    <w:sdtContent>
      <w:sdt>
        <w:sdtPr>
          <w:id w:val="-1769616900"/>
          <w:docPartObj>
            <w:docPartGallery w:val="Page Numbers (Top of Page)"/>
            <w:docPartUnique/>
          </w:docPartObj>
        </w:sdtPr>
        <w:sdtEndPr/>
        <w:sdtContent>
          <w:p w14:paraId="197B24DF" w14:textId="0809C89A" w:rsidR="00DA4D17" w:rsidRDefault="00DA4D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B6A3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A3A">
              <w:rPr>
                <w:b/>
                <w:bCs/>
                <w:noProof/>
              </w:rPr>
              <w:t>5</w:t>
            </w:r>
            <w:r>
              <w:rPr>
                <w:b/>
                <w:bCs/>
                <w:sz w:val="24"/>
                <w:szCs w:val="24"/>
              </w:rPr>
              <w:fldChar w:fldCharType="end"/>
            </w:r>
          </w:p>
        </w:sdtContent>
      </w:sdt>
    </w:sdtContent>
  </w:sdt>
  <w:p w14:paraId="2442321D" w14:textId="77777777" w:rsidR="00DA4D17" w:rsidRDefault="00DA4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446AB" w14:textId="77777777" w:rsidR="00F45906" w:rsidRDefault="00F45906" w:rsidP="00554234">
      <w:r>
        <w:separator/>
      </w:r>
    </w:p>
  </w:footnote>
  <w:footnote w:type="continuationSeparator" w:id="0">
    <w:p w14:paraId="7A3D3997" w14:textId="77777777" w:rsidR="00F45906" w:rsidRDefault="00F45906" w:rsidP="00554234">
      <w:r>
        <w:continuationSeparator/>
      </w:r>
    </w:p>
  </w:footnote>
  <w:footnote w:id="1">
    <w:p w14:paraId="2B734F07" w14:textId="77777777" w:rsidR="00554234" w:rsidRPr="00AD18B6" w:rsidRDefault="00554234" w:rsidP="00554234">
      <w:pPr>
        <w:pStyle w:val="FootnoteText"/>
        <w:rPr>
          <w:lang w:val="en-US"/>
        </w:rPr>
      </w:pPr>
      <w:r>
        <w:rPr>
          <w:rStyle w:val="FootnoteReference"/>
        </w:rPr>
        <w:footnoteRef/>
      </w:r>
      <w:r>
        <w:t xml:space="preserve"> </w:t>
      </w:r>
      <w:r>
        <w:rPr>
          <w:lang w:val="en-US"/>
        </w:rPr>
        <w:t xml:space="preserve">Note, the following in all references in OEB Staff questions relating to amounts booked to accounts 1588 and 1589. Amounts are not booked directly to accounts USoA 1588 and 1589 relating to power purchase </w:t>
      </w:r>
      <w:r w:rsidR="0042732D">
        <w:rPr>
          <w:lang w:val="en-US"/>
        </w:rPr>
        <w:t xml:space="preserve">and sale </w:t>
      </w:r>
      <w:r>
        <w:rPr>
          <w:lang w:val="en-US"/>
        </w:rPr>
        <w:t xml:space="preserve">transactions, but are rather booked to the cost of power USoA </w:t>
      </w:r>
      <w:r w:rsidRPr="00AD18B6">
        <w:rPr>
          <w:lang w:val="en-US"/>
        </w:rPr>
        <w:t>4705 Power Purchased</w:t>
      </w:r>
      <w:r w:rsidR="0042732D">
        <w:rPr>
          <w:lang w:val="en-US"/>
        </w:rPr>
        <w:t>/</w:t>
      </w:r>
      <w:r>
        <w:rPr>
          <w:lang w:val="en-US"/>
        </w:rPr>
        <w:t xml:space="preserve">4707 </w:t>
      </w:r>
      <w:r w:rsidRPr="00AD18B6">
        <w:rPr>
          <w:lang w:val="en-US"/>
        </w:rPr>
        <w:t>Charges - Global Adjustment</w:t>
      </w:r>
      <w:r w:rsidR="0042732D">
        <w:rPr>
          <w:lang w:val="en-US"/>
        </w:rPr>
        <w:t xml:space="preserve"> and the respective Energy Sales USoA accounts</w:t>
      </w:r>
      <w:r>
        <w:rPr>
          <w:lang w:val="en-US"/>
        </w:rPr>
        <w:t>, respectively. However, accounts 1588 and 1589 are impacted the same way as accounts 4705</w:t>
      </w:r>
      <w:r w:rsidR="0042732D">
        <w:rPr>
          <w:lang w:val="en-US"/>
        </w:rPr>
        <w:t>/</w:t>
      </w:r>
      <w:r>
        <w:rPr>
          <w:lang w:val="en-US"/>
        </w:rPr>
        <w:t>4707 are for cost of power transactions</w:t>
      </w:r>
      <w:r w:rsidR="0042732D">
        <w:rPr>
          <w:lang w:val="en-US"/>
        </w:rPr>
        <w:t>, and the same way as the Energy Sales accounts are for revenue transactions</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47161"/>
    <w:multiLevelType w:val="hybridMultilevel"/>
    <w:tmpl w:val="77462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6B11A9"/>
    <w:multiLevelType w:val="hybridMultilevel"/>
    <w:tmpl w:val="536603C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34"/>
    <w:rsid w:val="00083D7F"/>
    <w:rsid w:val="001B4A4E"/>
    <w:rsid w:val="00345E35"/>
    <w:rsid w:val="00396202"/>
    <w:rsid w:val="003C057D"/>
    <w:rsid w:val="003E0AF2"/>
    <w:rsid w:val="00417D17"/>
    <w:rsid w:val="0042732D"/>
    <w:rsid w:val="004C73C4"/>
    <w:rsid w:val="004E5C42"/>
    <w:rsid w:val="00505197"/>
    <w:rsid w:val="00554234"/>
    <w:rsid w:val="00577045"/>
    <w:rsid w:val="00644603"/>
    <w:rsid w:val="00711F9C"/>
    <w:rsid w:val="00762430"/>
    <w:rsid w:val="007A14B0"/>
    <w:rsid w:val="00A77084"/>
    <w:rsid w:val="00B845CF"/>
    <w:rsid w:val="00BB6A3A"/>
    <w:rsid w:val="00C75F77"/>
    <w:rsid w:val="00CC037C"/>
    <w:rsid w:val="00D2405E"/>
    <w:rsid w:val="00D43E9F"/>
    <w:rsid w:val="00D933C1"/>
    <w:rsid w:val="00DA4D17"/>
    <w:rsid w:val="00E31271"/>
    <w:rsid w:val="00ED0998"/>
    <w:rsid w:val="00F25080"/>
    <w:rsid w:val="00F45906"/>
    <w:rsid w:val="00F55468"/>
    <w:rsid w:val="00F7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5806"/>
  <w15:chartTrackingRefBased/>
  <w15:docId w15:val="{974C3138-D3A0-45F0-9E12-6A7151AB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23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234"/>
    <w:pPr>
      <w:spacing w:after="200" w:line="276" w:lineRule="auto"/>
      <w:ind w:left="720"/>
      <w:contextualSpacing/>
    </w:pPr>
    <w:rPr>
      <w:rFonts w:asciiTheme="minorHAnsi" w:hAnsiTheme="minorHAnsi" w:cstheme="minorBidi"/>
      <w:lang w:val="en-CA"/>
    </w:rPr>
  </w:style>
  <w:style w:type="table" w:styleId="TableGrid">
    <w:name w:val="Table Grid"/>
    <w:basedOn w:val="TableNormal"/>
    <w:uiPriority w:val="59"/>
    <w:rsid w:val="0055423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4234"/>
    <w:rPr>
      <w:rFonts w:asciiTheme="minorHAnsi" w:hAnsiTheme="minorHAnsi" w:cstheme="minorBidi"/>
      <w:sz w:val="20"/>
      <w:szCs w:val="20"/>
      <w:lang w:val="en-CA"/>
    </w:rPr>
  </w:style>
  <w:style w:type="character" w:customStyle="1" w:styleId="FootnoteTextChar">
    <w:name w:val="Footnote Text Char"/>
    <w:basedOn w:val="DefaultParagraphFont"/>
    <w:link w:val="FootnoteText"/>
    <w:uiPriority w:val="99"/>
    <w:semiHidden/>
    <w:rsid w:val="00554234"/>
    <w:rPr>
      <w:sz w:val="20"/>
      <w:szCs w:val="20"/>
      <w:lang w:val="en-CA"/>
    </w:rPr>
  </w:style>
  <w:style w:type="character" w:styleId="FootnoteReference">
    <w:name w:val="footnote reference"/>
    <w:basedOn w:val="DefaultParagraphFont"/>
    <w:uiPriority w:val="99"/>
    <w:semiHidden/>
    <w:unhideWhenUsed/>
    <w:rsid w:val="00554234"/>
    <w:rPr>
      <w:vertAlign w:val="superscript"/>
    </w:rPr>
  </w:style>
  <w:style w:type="paragraph" w:styleId="Header">
    <w:name w:val="header"/>
    <w:basedOn w:val="Normal"/>
    <w:link w:val="HeaderChar"/>
    <w:uiPriority w:val="99"/>
    <w:unhideWhenUsed/>
    <w:rsid w:val="00DA4D17"/>
    <w:pPr>
      <w:tabs>
        <w:tab w:val="center" w:pos="4680"/>
        <w:tab w:val="right" w:pos="9360"/>
      </w:tabs>
    </w:pPr>
  </w:style>
  <w:style w:type="character" w:customStyle="1" w:styleId="HeaderChar">
    <w:name w:val="Header Char"/>
    <w:basedOn w:val="DefaultParagraphFont"/>
    <w:link w:val="Header"/>
    <w:uiPriority w:val="99"/>
    <w:rsid w:val="00DA4D17"/>
    <w:rPr>
      <w:rFonts w:ascii="Calibri" w:hAnsi="Calibri" w:cs="Calibri"/>
    </w:rPr>
  </w:style>
  <w:style w:type="paragraph" w:styleId="Footer">
    <w:name w:val="footer"/>
    <w:basedOn w:val="Normal"/>
    <w:link w:val="FooterChar"/>
    <w:uiPriority w:val="99"/>
    <w:unhideWhenUsed/>
    <w:rsid w:val="00DA4D17"/>
    <w:pPr>
      <w:tabs>
        <w:tab w:val="center" w:pos="4680"/>
        <w:tab w:val="right" w:pos="9360"/>
      </w:tabs>
    </w:pPr>
  </w:style>
  <w:style w:type="character" w:customStyle="1" w:styleId="FooterChar">
    <w:name w:val="Footer Char"/>
    <w:basedOn w:val="DefaultParagraphFont"/>
    <w:link w:val="Footer"/>
    <w:uiPriority w:val="99"/>
    <w:rsid w:val="00DA4D17"/>
    <w:rPr>
      <w:rFonts w:ascii="Calibri" w:hAnsi="Calibri" w:cs="Calibri"/>
    </w:rPr>
  </w:style>
  <w:style w:type="character" w:styleId="CommentReference">
    <w:name w:val="annotation reference"/>
    <w:basedOn w:val="DefaultParagraphFont"/>
    <w:uiPriority w:val="99"/>
    <w:semiHidden/>
    <w:unhideWhenUsed/>
    <w:rsid w:val="00D933C1"/>
    <w:rPr>
      <w:sz w:val="16"/>
      <w:szCs w:val="16"/>
    </w:rPr>
  </w:style>
  <w:style w:type="paragraph" w:styleId="CommentText">
    <w:name w:val="annotation text"/>
    <w:basedOn w:val="Normal"/>
    <w:link w:val="CommentTextChar"/>
    <w:uiPriority w:val="99"/>
    <w:semiHidden/>
    <w:unhideWhenUsed/>
    <w:rsid w:val="00D933C1"/>
    <w:rPr>
      <w:sz w:val="20"/>
      <w:szCs w:val="20"/>
    </w:rPr>
  </w:style>
  <w:style w:type="character" w:customStyle="1" w:styleId="CommentTextChar">
    <w:name w:val="Comment Text Char"/>
    <w:basedOn w:val="DefaultParagraphFont"/>
    <w:link w:val="CommentText"/>
    <w:uiPriority w:val="99"/>
    <w:semiHidden/>
    <w:rsid w:val="00D933C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933C1"/>
    <w:rPr>
      <w:b/>
      <w:bCs/>
    </w:rPr>
  </w:style>
  <w:style w:type="character" w:customStyle="1" w:styleId="CommentSubjectChar">
    <w:name w:val="Comment Subject Char"/>
    <w:basedOn w:val="CommentTextChar"/>
    <w:link w:val="CommentSubject"/>
    <w:uiPriority w:val="99"/>
    <w:semiHidden/>
    <w:rsid w:val="00D933C1"/>
    <w:rPr>
      <w:rFonts w:ascii="Calibri" w:hAnsi="Calibri" w:cs="Calibri"/>
      <w:b/>
      <w:bCs/>
      <w:sz w:val="20"/>
      <w:szCs w:val="20"/>
    </w:rPr>
  </w:style>
  <w:style w:type="paragraph" w:styleId="BalloonText">
    <w:name w:val="Balloon Text"/>
    <w:basedOn w:val="Normal"/>
    <w:link w:val="BalloonTextChar"/>
    <w:uiPriority w:val="99"/>
    <w:semiHidden/>
    <w:unhideWhenUsed/>
    <w:rsid w:val="00D933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1832">
      <w:bodyDiv w:val="1"/>
      <w:marLeft w:val="0"/>
      <w:marRight w:val="0"/>
      <w:marTop w:val="0"/>
      <w:marBottom w:val="0"/>
      <w:divBdr>
        <w:top w:val="none" w:sz="0" w:space="0" w:color="auto"/>
        <w:left w:val="none" w:sz="0" w:space="0" w:color="auto"/>
        <w:bottom w:val="none" w:sz="0" w:space="0" w:color="auto"/>
        <w:right w:val="none" w:sz="0" w:space="0" w:color="auto"/>
      </w:divBdr>
    </w:div>
    <w:div w:id="4009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Mazzone</dc:creator>
  <cp:keywords/>
  <dc:description/>
  <cp:lastModifiedBy>Vince Mazzone</cp:lastModifiedBy>
  <cp:revision>3</cp:revision>
  <dcterms:created xsi:type="dcterms:W3CDTF">2018-01-17T19:54:00Z</dcterms:created>
  <dcterms:modified xsi:type="dcterms:W3CDTF">2018-01-17T19:55:00Z</dcterms:modified>
</cp:coreProperties>
</file>