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472" w:rsidRDefault="00F90472" w:rsidP="00F90472">
      <w:pPr>
        <w:pStyle w:val="ListParagraph"/>
        <w:ind w:hanging="360"/>
        <w:rPr>
          <w:rFonts w:ascii="Arial" w:hAnsi="Arial" w:cs="Arial"/>
          <w:b/>
          <w:bCs/>
          <w:sz w:val="24"/>
          <w:szCs w:val="24"/>
        </w:rPr>
      </w:pPr>
      <w:r>
        <w:rPr>
          <w:rFonts w:ascii="Arial" w:hAnsi="Arial" w:cs="Arial"/>
          <w:b/>
          <w:bCs/>
          <w:sz w:val="24"/>
          <w:szCs w:val="24"/>
        </w:rPr>
        <w:t xml:space="preserve">Follow-up Questions sent to </w:t>
      </w:r>
      <w:proofErr w:type="spellStart"/>
      <w:r>
        <w:rPr>
          <w:rFonts w:ascii="Arial" w:hAnsi="Arial" w:cs="Arial"/>
          <w:b/>
          <w:bCs/>
          <w:sz w:val="24"/>
          <w:szCs w:val="24"/>
        </w:rPr>
        <w:t>Collus</w:t>
      </w:r>
      <w:proofErr w:type="spellEnd"/>
      <w:r>
        <w:rPr>
          <w:rFonts w:ascii="Arial" w:hAnsi="Arial" w:cs="Arial"/>
          <w:b/>
          <w:bCs/>
          <w:sz w:val="24"/>
          <w:szCs w:val="24"/>
        </w:rPr>
        <w:t xml:space="preserve"> </w:t>
      </w:r>
      <w:proofErr w:type="spellStart"/>
      <w:r>
        <w:rPr>
          <w:rFonts w:ascii="Arial" w:hAnsi="Arial" w:cs="Arial"/>
          <w:b/>
          <w:bCs/>
          <w:sz w:val="24"/>
          <w:szCs w:val="24"/>
        </w:rPr>
        <w:t>PowerStream</w:t>
      </w:r>
      <w:proofErr w:type="spellEnd"/>
      <w:r>
        <w:rPr>
          <w:rFonts w:ascii="Arial" w:hAnsi="Arial" w:cs="Arial"/>
          <w:b/>
          <w:bCs/>
          <w:sz w:val="24"/>
          <w:szCs w:val="24"/>
        </w:rPr>
        <w:t xml:space="preserve"> on January 19, 2017</w:t>
      </w:r>
    </w:p>
    <w:p w:rsidR="00F90472" w:rsidRDefault="00F90472" w:rsidP="00F90472">
      <w:pPr>
        <w:pStyle w:val="ListParagraph"/>
        <w:ind w:hanging="360"/>
        <w:rPr>
          <w:lang w:val="en-US"/>
        </w:rPr>
      </w:pPr>
      <w:r>
        <w:rPr>
          <w:rFonts w:ascii="Arial" w:hAnsi="Arial" w:cs="Arial"/>
          <w:b/>
          <w:bCs/>
          <w:sz w:val="24"/>
          <w:szCs w:val="24"/>
        </w:rPr>
        <w:t>1.</w:t>
      </w:r>
      <w:r>
        <w:rPr>
          <w:rFonts w:ascii="Times New Roman" w:hAnsi="Times New Roman"/>
          <w:b/>
          <w:bCs/>
          <w:sz w:val="14"/>
          <w:szCs w:val="14"/>
        </w:rPr>
        <w:t xml:space="preserve">    </w:t>
      </w:r>
      <w:r>
        <w:rPr>
          <w:rFonts w:ascii="Arial" w:hAnsi="Arial" w:cs="Arial"/>
          <w:b/>
          <w:bCs/>
          <w:sz w:val="24"/>
          <w:szCs w:val="24"/>
        </w:rPr>
        <w:t>High GA balances</w:t>
      </w:r>
    </w:p>
    <w:p w:rsidR="00F90472" w:rsidRDefault="00F90472" w:rsidP="00F90472">
      <w:pPr>
        <w:ind w:left="720"/>
        <w:rPr>
          <w:lang w:val="en-US"/>
        </w:rPr>
      </w:pPr>
      <w:r>
        <w:rPr>
          <w:rFonts w:ascii="Arial" w:hAnsi="Arial" w:cs="Arial"/>
          <w:sz w:val="24"/>
          <w:szCs w:val="24"/>
          <w:lang w:val="en-US"/>
        </w:rPr>
        <w:t xml:space="preserve">Staff has reviewed the explanation that </w:t>
      </w:r>
      <w:proofErr w:type="spellStart"/>
      <w:r>
        <w:rPr>
          <w:rFonts w:ascii="Arial" w:hAnsi="Arial" w:cs="Arial"/>
          <w:sz w:val="24"/>
          <w:szCs w:val="24"/>
          <w:lang w:val="en-US"/>
        </w:rPr>
        <w:t>Collus</w:t>
      </w:r>
      <w:proofErr w:type="spellEnd"/>
      <w:r>
        <w:rPr>
          <w:rFonts w:ascii="Arial" w:hAnsi="Arial" w:cs="Arial"/>
          <w:sz w:val="24"/>
          <w:szCs w:val="24"/>
          <w:lang w:val="en-US"/>
        </w:rPr>
        <w:t xml:space="preserve"> provided for the high GA balances in the Staff Questions process. However, the explanation is not considered adequate and staff would ask </w:t>
      </w:r>
      <w:proofErr w:type="spellStart"/>
      <w:r>
        <w:rPr>
          <w:rFonts w:ascii="Arial" w:hAnsi="Arial" w:cs="Arial"/>
          <w:sz w:val="24"/>
          <w:szCs w:val="24"/>
          <w:lang w:val="en-US"/>
        </w:rPr>
        <w:t>Collus</w:t>
      </w:r>
      <w:proofErr w:type="spellEnd"/>
      <w:r>
        <w:rPr>
          <w:rFonts w:ascii="Arial" w:hAnsi="Arial" w:cs="Arial"/>
          <w:sz w:val="24"/>
          <w:szCs w:val="24"/>
          <w:lang w:val="en-US"/>
        </w:rPr>
        <w:t xml:space="preserve"> to complete the attached GA Variance Account Analysis work form (tab 2014 and 2015) to assist </w:t>
      </w:r>
      <w:proofErr w:type="spellStart"/>
      <w:r>
        <w:rPr>
          <w:rFonts w:ascii="Arial" w:hAnsi="Arial" w:cs="Arial"/>
          <w:sz w:val="24"/>
          <w:szCs w:val="24"/>
          <w:lang w:val="en-US"/>
        </w:rPr>
        <w:t>Collus</w:t>
      </w:r>
      <w:proofErr w:type="spellEnd"/>
      <w:r>
        <w:rPr>
          <w:rFonts w:ascii="Arial" w:hAnsi="Arial" w:cs="Arial"/>
          <w:sz w:val="24"/>
          <w:szCs w:val="24"/>
          <w:lang w:val="en-US"/>
        </w:rPr>
        <w:t xml:space="preserve"> with the further analysis on account 1589.</w:t>
      </w:r>
    </w:p>
    <w:p w:rsidR="00F90472" w:rsidRDefault="00F90472" w:rsidP="00F90472">
      <w:pPr>
        <w:ind w:left="720"/>
        <w:rPr>
          <w:lang w:val="en-US"/>
        </w:rPr>
      </w:pPr>
      <w:r>
        <w:rPr>
          <w:rFonts w:ascii="Arial" w:hAnsi="Arial" w:cs="Arial"/>
          <w:sz w:val="24"/>
          <w:szCs w:val="24"/>
          <w:lang w:val="en-US"/>
        </w:rPr>
        <w:t> </w:t>
      </w:r>
    </w:p>
    <w:p w:rsidR="00F90472" w:rsidRDefault="00F90472" w:rsidP="00F90472">
      <w:pPr>
        <w:ind w:left="720"/>
        <w:rPr>
          <w:lang w:val="en-US"/>
        </w:rPr>
      </w:pPr>
      <w:r>
        <w:rPr>
          <w:rFonts w:ascii="Arial" w:hAnsi="Arial" w:cs="Arial"/>
          <w:sz w:val="24"/>
          <w:szCs w:val="24"/>
          <w:lang w:val="en-US"/>
        </w:rPr>
        <w:t xml:space="preserve">We understand that there would be differences between the monthly amounts calculated in this spreadsheet and the monthly activity in the G/L; however, on an annual basis the total should not be materially different from the activity for the year for account 1589.  </w:t>
      </w:r>
    </w:p>
    <w:p w:rsidR="00F90472" w:rsidRDefault="00F90472" w:rsidP="00F90472">
      <w:pPr>
        <w:ind w:left="720"/>
        <w:rPr>
          <w:lang w:val="en-US"/>
        </w:rPr>
      </w:pPr>
      <w:r>
        <w:rPr>
          <w:rFonts w:ascii="Arial" w:hAnsi="Arial" w:cs="Arial"/>
          <w:sz w:val="24"/>
          <w:szCs w:val="24"/>
          <w:lang w:val="en-US"/>
        </w:rPr>
        <w:t> </w:t>
      </w:r>
    </w:p>
    <w:p w:rsidR="00F90472" w:rsidRDefault="00F90472" w:rsidP="00F90472">
      <w:pPr>
        <w:ind w:left="720"/>
        <w:rPr>
          <w:lang w:val="en-US"/>
        </w:rPr>
      </w:pPr>
      <w:r>
        <w:rPr>
          <w:rFonts w:ascii="Arial" w:hAnsi="Arial" w:cs="Arial"/>
          <w:sz w:val="24"/>
          <w:szCs w:val="24"/>
          <w:lang w:val="en-US"/>
        </w:rPr>
        <w:t xml:space="preserve">If the total difference for the year is not material (based on your materiality threshold) then there is no need for further explanation.  The purpose of this analysis is to validate the reasonableness of the account balance; it is not to do a monthly reconciliation to your G/L. </w:t>
      </w:r>
    </w:p>
    <w:p w:rsidR="00F90472" w:rsidRDefault="00F90472" w:rsidP="00F90472">
      <w:pPr>
        <w:ind w:left="720"/>
        <w:rPr>
          <w:lang w:val="en-US"/>
        </w:rPr>
      </w:pPr>
      <w:r>
        <w:rPr>
          <w:rFonts w:ascii="Arial" w:hAnsi="Arial" w:cs="Arial"/>
          <w:sz w:val="24"/>
          <w:szCs w:val="24"/>
          <w:lang w:val="en-US"/>
        </w:rPr>
        <w:t> </w:t>
      </w:r>
    </w:p>
    <w:p w:rsidR="00F90472" w:rsidRDefault="00F90472" w:rsidP="00F90472">
      <w:pPr>
        <w:ind w:left="720"/>
        <w:rPr>
          <w:lang w:val="en-US"/>
        </w:rPr>
      </w:pPr>
      <w:r>
        <w:rPr>
          <w:rFonts w:ascii="Arial" w:hAnsi="Arial" w:cs="Arial"/>
          <w:sz w:val="24"/>
          <w:szCs w:val="24"/>
          <w:lang w:val="en-US"/>
        </w:rPr>
        <w:t>Moreover, if the difference is greater than the materiality threshold ($50,000), then an explanation of the difference is necessary.</w:t>
      </w:r>
    </w:p>
    <w:p w:rsidR="00F90472" w:rsidRDefault="00F90472" w:rsidP="00F90472">
      <w:pPr>
        <w:ind w:left="720"/>
        <w:rPr>
          <w:lang w:val="en-US"/>
        </w:rPr>
      </w:pPr>
      <w:r>
        <w:rPr>
          <w:rFonts w:ascii="Arial" w:hAnsi="Arial" w:cs="Arial"/>
          <w:sz w:val="24"/>
          <w:szCs w:val="24"/>
          <w:lang w:val="en-US"/>
        </w:rPr>
        <w:t> </w:t>
      </w:r>
    </w:p>
    <w:p w:rsidR="00F90472" w:rsidRDefault="00F90472" w:rsidP="00F90472">
      <w:pPr>
        <w:pStyle w:val="ListParagraph"/>
        <w:ind w:hanging="360"/>
        <w:rPr>
          <w:lang w:val="en-US"/>
        </w:rPr>
      </w:pPr>
      <w:r>
        <w:rPr>
          <w:rFonts w:ascii="Arial" w:hAnsi="Arial" w:cs="Arial"/>
          <w:b/>
          <w:bCs/>
          <w:sz w:val="24"/>
          <w:szCs w:val="24"/>
        </w:rPr>
        <w:t>2.</w:t>
      </w:r>
      <w:r>
        <w:rPr>
          <w:rFonts w:ascii="Times New Roman" w:hAnsi="Times New Roman"/>
          <w:b/>
          <w:bCs/>
          <w:sz w:val="14"/>
          <w:szCs w:val="14"/>
        </w:rPr>
        <w:t xml:space="preserve">    </w:t>
      </w:r>
      <w:r>
        <w:rPr>
          <w:rFonts w:ascii="Arial" w:hAnsi="Arial" w:cs="Arial"/>
          <w:b/>
          <w:bCs/>
          <w:sz w:val="24"/>
          <w:szCs w:val="24"/>
        </w:rPr>
        <w:t>Account 1595 (2010)</w:t>
      </w:r>
    </w:p>
    <w:p w:rsidR="00F90472" w:rsidRDefault="00F90472" w:rsidP="00F90472">
      <w:pPr>
        <w:ind w:left="720"/>
        <w:rPr>
          <w:lang w:val="en-US"/>
        </w:rPr>
      </w:pPr>
      <w:r>
        <w:rPr>
          <w:rFonts w:ascii="Arial" w:hAnsi="Arial" w:cs="Arial"/>
          <w:sz w:val="24"/>
          <w:szCs w:val="24"/>
          <w:lang w:val="en-US"/>
        </w:rPr>
        <w:t xml:space="preserve">On tab 3 of the IRM model, staff noted that the carrying charges (in credit amount of $247,053) are relatively high compared to the principal (in debit amount of $310,070) for the total claim in Account 1595 (2010). </w:t>
      </w:r>
    </w:p>
    <w:p w:rsidR="00F90472" w:rsidRDefault="00F90472" w:rsidP="00F90472">
      <w:pPr>
        <w:ind w:left="720"/>
        <w:rPr>
          <w:lang w:val="en-US"/>
        </w:rPr>
      </w:pPr>
      <w:r>
        <w:rPr>
          <w:rFonts w:ascii="Arial" w:hAnsi="Arial" w:cs="Arial"/>
          <w:sz w:val="24"/>
          <w:szCs w:val="24"/>
          <w:lang w:val="en-US"/>
        </w:rPr>
        <w:t> </w:t>
      </w:r>
    </w:p>
    <w:p w:rsidR="00F90472" w:rsidRDefault="00F90472" w:rsidP="00F90472">
      <w:pPr>
        <w:pStyle w:val="ListParagraph"/>
        <w:ind w:left="1440" w:hanging="360"/>
        <w:rPr>
          <w:lang w:val="en-US"/>
        </w:rPr>
      </w:pPr>
      <w:r>
        <w:rPr>
          <w:lang w:val="en-US"/>
        </w:rPr>
        <w:t>a)</w:t>
      </w:r>
      <w:r>
        <w:rPr>
          <w:rFonts w:ascii="Times New Roman" w:hAnsi="Times New Roman"/>
          <w:sz w:val="14"/>
          <w:szCs w:val="14"/>
          <w:lang w:val="en-US"/>
        </w:rPr>
        <w:t xml:space="preserve">      </w:t>
      </w:r>
      <w:r>
        <w:rPr>
          <w:rFonts w:ascii="Arial" w:hAnsi="Arial" w:cs="Arial"/>
          <w:sz w:val="24"/>
          <w:szCs w:val="24"/>
          <w:lang w:val="en-US"/>
        </w:rPr>
        <w:t>Please review the answer to Q6 in the Accounting Procedures Handbook Frequently Asked Questions issued in October 2009 (</w:t>
      </w:r>
      <w:hyperlink r:id="rId5" w:history="1">
        <w:r>
          <w:rPr>
            <w:rStyle w:val="Hyperlink"/>
            <w:rFonts w:ascii="Arial" w:hAnsi="Arial" w:cs="Arial"/>
            <w:sz w:val="24"/>
            <w:szCs w:val="24"/>
            <w:lang w:val="en-US"/>
          </w:rPr>
          <w:t>http://www.ontarioenergyboard.ca/oeb/_Documents/Regulatory/APH_FAQs_October2009.pdf</w:t>
        </w:r>
      </w:hyperlink>
      <w:r>
        <w:rPr>
          <w:rFonts w:ascii="Arial" w:hAnsi="Arial" w:cs="Arial"/>
          <w:sz w:val="24"/>
          <w:szCs w:val="24"/>
          <w:lang w:val="en-US"/>
        </w:rPr>
        <w:t xml:space="preserve">), and identify whether or not </w:t>
      </w:r>
      <w:proofErr w:type="spellStart"/>
      <w:r>
        <w:rPr>
          <w:rFonts w:ascii="Arial" w:hAnsi="Arial" w:cs="Arial"/>
          <w:sz w:val="24"/>
          <w:szCs w:val="24"/>
          <w:lang w:val="en-US"/>
        </w:rPr>
        <w:t>Collus</w:t>
      </w:r>
      <w:proofErr w:type="spellEnd"/>
      <w:r>
        <w:rPr>
          <w:rFonts w:ascii="Arial" w:hAnsi="Arial" w:cs="Arial"/>
          <w:sz w:val="24"/>
          <w:szCs w:val="24"/>
          <w:lang w:val="en-US"/>
        </w:rPr>
        <w:t xml:space="preserve"> has been following the instruction in allocating the balances collected in Account 1595 (2010). If not, please indicate how </w:t>
      </w:r>
      <w:proofErr w:type="spellStart"/>
      <w:r>
        <w:rPr>
          <w:rFonts w:ascii="Arial" w:hAnsi="Arial" w:cs="Arial"/>
          <w:sz w:val="24"/>
          <w:szCs w:val="24"/>
          <w:lang w:val="en-US"/>
        </w:rPr>
        <w:t>Collus</w:t>
      </w:r>
      <w:proofErr w:type="spellEnd"/>
      <w:r>
        <w:rPr>
          <w:rFonts w:ascii="Arial" w:hAnsi="Arial" w:cs="Arial"/>
          <w:sz w:val="24"/>
          <w:szCs w:val="24"/>
          <w:lang w:val="en-US"/>
        </w:rPr>
        <w:t xml:space="preserve"> applied the recovery of the account balances collected to the new sub-accounts of account 1595.</w:t>
      </w:r>
      <w:r>
        <w:rPr>
          <w:rFonts w:ascii="Arial" w:hAnsi="Arial" w:cs="Arial"/>
          <w:sz w:val="24"/>
          <w:szCs w:val="24"/>
          <w:lang w:val="en-US"/>
        </w:rPr>
        <w:br/>
      </w:r>
    </w:p>
    <w:p w:rsidR="00F90472" w:rsidRDefault="00F90472" w:rsidP="00F90472">
      <w:pPr>
        <w:pStyle w:val="ListParagraph"/>
        <w:ind w:left="1440"/>
        <w:rPr>
          <w:lang w:val="en-US"/>
        </w:rPr>
      </w:pPr>
      <w:r>
        <w:rPr>
          <w:rFonts w:ascii="Arial" w:hAnsi="Arial" w:cs="Arial"/>
          <w:sz w:val="24"/>
          <w:szCs w:val="24"/>
          <w:lang w:val="en-US"/>
        </w:rPr>
        <w:t> </w:t>
      </w:r>
    </w:p>
    <w:p w:rsidR="00746080" w:rsidRPr="00F90472" w:rsidRDefault="00F90472" w:rsidP="00F90472">
      <w:pPr>
        <w:pStyle w:val="ListParagraph"/>
        <w:ind w:left="1440" w:hanging="360"/>
        <w:rPr>
          <w:lang w:val="en-US"/>
        </w:rPr>
      </w:pPr>
      <w:r>
        <w:rPr>
          <w:rFonts w:ascii="Arial" w:hAnsi="Arial" w:cs="Arial"/>
          <w:sz w:val="24"/>
          <w:szCs w:val="24"/>
          <w:lang w:val="en-US"/>
        </w:rPr>
        <w:t>b)</w:t>
      </w:r>
      <w:r>
        <w:rPr>
          <w:rFonts w:ascii="Times New Roman" w:hAnsi="Times New Roman"/>
          <w:sz w:val="14"/>
          <w:szCs w:val="14"/>
          <w:lang w:val="en-US"/>
        </w:rPr>
        <w:t xml:space="preserve">    </w:t>
      </w:r>
      <w:r>
        <w:rPr>
          <w:rFonts w:ascii="Arial" w:hAnsi="Arial" w:cs="Arial"/>
          <w:sz w:val="24"/>
          <w:szCs w:val="24"/>
          <w:lang w:val="en-US"/>
        </w:rPr>
        <w:t xml:space="preserve">Staff </w:t>
      </w:r>
      <w:proofErr w:type="gramStart"/>
      <w:r>
        <w:rPr>
          <w:rFonts w:ascii="Arial" w:hAnsi="Arial" w:cs="Arial"/>
          <w:sz w:val="24"/>
          <w:szCs w:val="24"/>
          <w:lang w:val="en-US"/>
        </w:rPr>
        <w:t>note</w:t>
      </w:r>
      <w:proofErr w:type="gramEnd"/>
      <w:r>
        <w:rPr>
          <w:rFonts w:ascii="Arial" w:hAnsi="Arial" w:cs="Arial"/>
          <w:sz w:val="24"/>
          <w:szCs w:val="24"/>
          <w:lang w:val="en-US"/>
        </w:rPr>
        <w:t xml:space="preserve"> that there is a variance in amount of (2,265) between RRR and 2015 balance on the Continuity Schedule. Please review and provide explanation for this variance.</w:t>
      </w:r>
      <w:r>
        <w:rPr>
          <w:rFonts w:ascii="Arial" w:hAnsi="Arial" w:cs="Arial"/>
          <w:sz w:val="24"/>
          <w:szCs w:val="24"/>
          <w:lang w:val="en-US"/>
        </w:rPr>
        <w:br/>
      </w:r>
      <w:r w:rsidR="0089004E">
        <w:rPr>
          <w:rFonts w:ascii="Arial" w:hAnsi="Arial" w:cs="Arial"/>
          <w:color w:val="00B0F0"/>
          <w:sz w:val="24"/>
          <w:szCs w:val="24"/>
          <w:lang w:val="en-US"/>
        </w:rPr>
        <w:t xml:space="preserve">Response: </w:t>
      </w:r>
      <w:bookmarkStart w:id="0" w:name="_GoBack"/>
      <w:bookmarkEnd w:id="0"/>
      <w:r>
        <w:rPr>
          <w:rFonts w:ascii="Arial" w:hAnsi="Arial" w:cs="Arial"/>
          <w:color w:val="00B0F0"/>
          <w:sz w:val="24"/>
          <w:szCs w:val="24"/>
          <w:lang w:val="en-US"/>
        </w:rPr>
        <w:t>The difference was an error when the revision was made.  It has been adjusted and now shows no variance.</w:t>
      </w:r>
    </w:p>
    <w:sectPr w:rsidR="00746080" w:rsidRPr="00F90472"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FA0"/>
    <w:rsid w:val="00412DC6"/>
    <w:rsid w:val="00433FA0"/>
    <w:rsid w:val="00746080"/>
    <w:rsid w:val="0089004E"/>
    <w:rsid w:val="00AA06D9"/>
    <w:rsid w:val="00B25576"/>
    <w:rsid w:val="00EA0919"/>
    <w:rsid w:val="00F904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72"/>
    <w:pPr>
      <w:spacing w:after="0" w:line="240" w:lineRule="auto"/>
    </w:pPr>
    <w:rPr>
      <w:rFonts w:ascii="Calibri" w:hAnsi="Calibri"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0472"/>
    <w:rPr>
      <w:color w:val="0000FF"/>
      <w:u w:val="single"/>
    </w:rPr>
  </w:style>
  <w:style w:type="paragraph" w:styleId="ListParagraph">
    <w:name w:val="List Paragraph"/>
    <w:basedOn w:val="Normal"/>
    <w:uiPriority w:val="34"/>
    <w:qFormat/>
    <w:rsid w:val="00F90472"/>
    <w:pPr>
      <w:spacing w:after="200" w:line="276" w:lineRule="auto"/>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72"/>
    <w:pPr>
      <w:spacing w:after="0" w:line="240" w:lineRule="auto"/>
    </w:pPr>
    <w:rPr>
      <w:rFonts w:ascii="Calibri" w:hAnsi="Calibri"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0472"/>
    <w:rPr>
      <w:color w:val="0000FF"/>
      <w:u w:val="single"/>
    </w:rPr>
  </w:style>
  <w:style w:type="paragraph" w:styleId="ListParagraph">
    <w:name w:val="List Paragraph"/>
    <w:basedOn w:val="Normal"/>
    <w:uiPriority w:val="34"/>
    <w:qFormat/>
    <w:rsid w:val="00F90472"/>
    <w:pPr>
      <w:spacing w:after="200" w:line="276"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73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ntarioenergyboard.ca/oeb/_Documents/Regulatory/APH_FAQs_October200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332</Words>
  <Characters>1898</Characters>
  <Application>Microsoft Office Word</Application>
  <DocSecurity>0</DocSecurity>
  <Lines>15</Lines>
  <Paragraphs>4</Paragraphs>
  <ScaleCrop>false</ScaleCrop>
  <Company>OEB</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Wang</dc:creator>
  <cp:keywords/>
  <dc:description/>
  <cp:lastModifiedBy>Katherine Wang</cp:lastModifiedBy>
  <cp:revision>3</cp:revision>
  <dcterms:created xsi:type="dcterms:W3CDTF">2017-02-28T19:32:00Z</dcterms:created>
  <dcterms:modified xsi:type="dcterms:W3CDTF">2017-02-28T19:34:00Z</dcterms:modified>
</cp:coreProperties>
</file>