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B3" w:rsidRPr="00BB4737" w:rsidRDefault="00FD65B3" w:rsidP="00FD65B3">
      <w:pPr>
        <w:rPr>
          <w:rFonts w:ascii="Book Antiqua" w:hAnsi="Book Antiqua"/>
          <w:szCs w:val="24"/>
        </w:rPr>
      </w:pP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2</w:t>
      </w:r>
      <w:r w:rsidR="00EA33BF">
        <w:rPr>
          <w:rFonts w:ascii="Book Antiqua" w:hAnsi="Book Antiqua"/>
          <w:szCs w:val="24"/>
          <w:lang w:val="en-GB"/>
        </w:rPr>
        <w:t>3</w:t>
      </w:r>
      <w:r w:rsidRPr="00BB4737">
        <w:rPr>
          <w:rFonts w:ascii="Book Antiqua" w:hAnsi="Book Antiqua"/>
          <w:szCs w:val="24"/>
          <w:lang w:val="en-GB"/>
        </w:rPr>
        <w:t xml:space="preserve"> April 2015</w:t>
      </w:r>
    </w:p>
    <w:p w:rsidR="00BB4737" w:rsidRPr="00BB4737" w:rsidRDefault="00BB4737" w:rsidP="00BB4737">
      <w:pPr>
        <w:suppressAutoHyphens/>
        <w:rPr>
          <w:rFonts w:ascii="Book Antiqua" w:hAnsi="Book Antiqua"/>
          <w:szCs w:val="24"/>
          <w:lang w:val="en-GB"/>
        </w:rPr>
      </w:pPr>
    </w:p>
    <w:p w:rsidR="00BB4737" w:rsidRPr="00EA33BF" w:rsidRDefault="00EA33BF" w:rsidP="00EA33BF">
      <w:pPr>
        <w:suppressAutoHyphens/>
        <w:rPr>
          <w:rFonts w:ascii="Book Antiqua" w:hAnsi="Book Antiqua"/>
          <w:szCs w:val="24"/>
          <w:lang w:val="en-GB"/>
        </w:rPr>
      </w:pPr>
      <w:r w:rsidRPr="00EA33BF">
        <w:rPr>
          <w:rFonts w:ascii="Book Antiqua" w:hAnsi="Book Antiqua"/>
          <w:szCs w:val="24"/>
          <w:lang w:val="en-GB"/>
        </w:rPr>
        <w:t xml:space="preserve">VIA EMAIL: </w:t>
      </w:r>
      <w:r>
        <w:rPr>
          <w:rFonts w:ascii="Book Antiqua" w:hAnsi="Book Antiqua"/>
          <w:szCs w:val="24"/>
          <w:lang w:val="en-GB"/>
        </w:rPr>
        <w:tab/>
      </w:r>
      <w:r w:rsidRPr="00EA33BF">
        <w:rPr>
          <w:rFonts w:ascii="Book Antiqua" w:hAnsi="Book Antiqua"/>
          <w:szCs w:val="24"/>
          <w:lang w:val="en-GB"/>
        </w:rPr>
        <w:t>boardsec@ontarioenergyboard.ca</w:t>
      </w:r>
    </w:p>
    <w:p w:rsidR="00BB4737" w:rsidRPr="00BB4737" w:rsidRDefault="00BB4737" w:rsidP="00BB4737">
      <w:pPr>
        <w:suppressAutoHyphens/>
        <w:rPr>
          <w:rFonts w:ascii="Book Antiqua" w:hAnsi="Book Antiqua"/>
          <w:szCs w:val="24"/>
          <w:lang w:val="en-GB"/>
        </w:rPr>
      </w:pP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 xml:space="preserve">Ms. Kirsten </w:t>
      </w:r>
      <w:proofErr w:type="spellStart"/>
      <w:r w:rsidRPr="00BB4737">
        <w:rPr>
          <w:rFonts w:ascii="Book Antiqua" w:hAnsi="Book Antiqua"/>
          <w:szCs w:val="24"/>
          <w:lang w:val="en-GB"/>
        </w:rPr>
        <w:t>Walli</w:t>
      </w:r>
      <w:proofErr w:type="spellEnd"/>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Board Secretary</w:t>
      </w: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Ontario Energy Board</w:t>
      </w: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 xml:space="preserve">2300 </w:t>
      </w:r>
      <w:proofErr w:type="spellStart"/>
      <w:r w:rsidRPr="00BB4737">
        <w:rPr>
          <w:rFonts w:ascii="Book Antiqua" w:hAnsi="Book Antiqua"/>
          <w:szCs w:val="24"/>
          <w:lang w:val="en-GB"/>
        </w:rPr>
        <w:t>Yonge</w:t>
      </w:r>
      <w:proofErr w:type="spellEnd"/>
      <w:r w:rsidRPr="00BB4737">
        <w:rPr>
          <w:rFonts w:ascii="Book Antiqua" w:hAnsi="Book Antiqua"/>
          <w:szCs w:val="24"/>
          <w:lang w:val="en-GB"/>
        </w:rPr>
        <w:t xml:space="preserve"> Street, 27th Floor</w:t>
      </w: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Toronto, Ontario</w:t>
      </w: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M4P 1E4</w:t>
      </w:r>
    </w:p>
    <w:p w:rsidR="00BB4737" w:rsidRPr="00BB4737" w:rsidRDefault="00BB4737" w:rsidP="00BB4737">
      <w:pPr>
        <w:suppressAutoHyphens/>
        <w:rPr>
          <w:rFonts w:ascii="Book Antiqua" w:hAnsi="Book Antiqua"/>
          <w:szCs w:val="24"/>
          <w:lang w:val="en-GB"/>
        </w:rPr>
      </w:pPr>
    </w:p>
    <w:p w:rsidR="00BB4737" w:rsidRPr="00BB4737" w:rsidRDefault="00BB4737" w:rsidP="00BB4737">
      <w:pPr>
        <w:suppressAutoHyphens/>
        <w:rPr>
          <w:rFonts w:ascii="Book Antiqua" w:hAnsi="Book Antiqua"/>
          <w:szCs w:val="24"/>
          <w:lang w:val="en-GB"/>
        </w:rPr>
      </w:pPr>
      <w:r w:rsidRPr="00BB4737">
        <w:rPr>
          <w:rFonts w:ascii="Book Antiqua" w:hAnsi="Book Antiqua"/>
          <w:szCs w:val="24"/>
          <w:lang w:val="en-GB"/>
        </w:rPr>
        <w:t xml:space="preserve">Dear Ms. </w:t>
      </w:r>
      <w:proofErr w:type="spellStart"/>
      <w:r w:rsidRPr="00BB4737">
        <w:rPr>
          <w:rFonts w:ascii="Book Antiqua" w:hAnsi="Book Antiqua"/>
          <w:szCs w:val="24"/>
          <w:lang w:val="en-GB"/>
        </w:rPr>
        <w:t>Walli</w:t>
      </w:r>
      <w:proofErr w:type="spellEnd"/>
      <w:r w:rsidRPr="00BB4737">
        <w:rPr>
          <w:rFonts w:ascii="Book Antiqua" w:hAnsi="Book Antiqua"/>
          <w:szCs w:val="24"/>
          <w:lang w:val="en-GB"/>
        </w:rPr>
        <w:t>:</w:t>
      </w:r>
    </w:p>
    <w:p w:rsidR="0067152E" w:rsidRDefault="0067152E" w:rsidP="00BB4737">
      <w:pPr>
        <w:suppressAutoHyphens/>
        <w:ind w:left="1440" w:hanging="1440"/>
        <w:rPr>
          <w:rFonts w:ascii="Book Antiqua" w:hAnsi="Book Antiqua"/>
          <w:szCs w:val="24"/>
          <w:lang w:val="en-GB"/>
        </w:rPr>
      </w:pPr>
    </w:p>
    <w:p w:rsidR="00BB4737" w:rsidRPr="00BB4737" w:rsidRDefault="00BB4737" w:rsidP="00BB4737">
      <w:pPr>
        <w:suppressAutoHyphens/>
        <w:ind w:left="1440" w:hanging="1440"/>
        <w:rPr>
          <w:rFonts w:ascii="Book Antiqua" w:hAnsi="Book Antiqua"/>
          <w:szCs w:val="24"/>
          <w:u w:val="single"/>
        </w:rPr>
      </w:pPr>
      <w:r w:rsidRPr="00BB4737">
        <w:rPr>
          <w:rFonts w:ascii="Book Antiqua" w:hAnsi="Book Antiqua"/>
          <w:szCs w:val="24"/>
          <w:lang w:val="en-GB"/>
        </w:rPr>
        <w:t>Subject:</w:t>
      </w:r>
      <w:r w:rsidRPr="00BB4737">
        <w:rPr>
          <w:rFonts w:ascii="Book Antiqua" w:hAnsi="Book Antiqua"/>
          <w:szCs w:val="24"/>
          <w:lang w:val="en-GB"/>
        </w:rPr>
        <w:tab/>
        <w:t xml:space="preserve">OEB File:  EB-2013-0416/EB-2014-0247 - Application by Hydro One Networks </w:t>
      </w:r>
      <w:r w:rsidRPr="0067152E">
        <w:rPr>
          <w:rFonts w:ascii="Book Antiqua" w:hAnsi="Book Antiqua"/>
          <w:szCs w:val="24"/>
          <w:lang w:val="en-GB"/>
        </w:rPr>
        <w:t>Inc. for approval of distribution rates for 2015 to 2019</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pStyle w:val="ListParagraph"/>
        <w:numPr>
          <w:ilvl w:val="0"/>
          <w:numId w:val="3"/>
        </w:numPr>
        <w:suppressAutoHyphens/>
        <w:spacing w:line="360" w:lineRule="auto"/>
        <w:ind w:hanging="720"/>
        <w:rPr>
          <w:rFonts w:ascii="Book Antiqua" w:hAnsi="Book Antiqua"/>
          <w:szCs w:val="24"/>
          <w:lang w:val="en-GB"/>
        </w:rPr>
      </w:pPr>
      <w:r w:rsidRPr="00BB4737">
        <w:rPr>
          <w:rFonts w:ascii="Book Antiqua" w:hAnsi="Book Antiqua"/>
          <w:szCs w:val="24"/>
          <w:lang w:val="en-GB"/>
        </w:rPr>
        <w:t xml:space="preserve">The </w:t>
      </w:r>
      <w:r>
        <w:rPr>
          <w:rFonts w:ascii="Book Antiqua" w:hAnsi="Book Antiqua"/>
          <w:szCs w:val="24"/>
          <w:lang w:val="en-GB"/>
        </w:rPr>
        <w:t>Canadian Cable Systems Alliance Inc.</w:t>
      </w:r>
      <w:r w:rsidRPr="00BB4737">
        <w:rPr>
          <w:rFonts w:ascii="Book Antiqua" w:hAnsi="Book Antiqua"/>
          <w:szCs w:val="24"/>
          <w:lang w:val="en-GB"/>
        </w:rPr>
        <w:t xml:space="preserve"> (“</w:t>
      </w:r>
      <w:r>
        <w:rPr>
          <w:rFonts w:ascii="Book Antiqua" w:hAnsi="Book Antiqua"/>
          <w:szCs w:val="24"/>
          <w:lang w:val="en-GB"/>
        </w:rPr>
        <w:t>CCSA</w:t>
      </w:r>
      <w:r w:rsidRPr="00BB4737">
        <w:rPr>
          <w:rFonts w:ascii="Book Antiqua" w:hAnsi="Book Antiqua"/>
          <w:szCs w:val="24"/>
          <w:lang w:val="en-GB"/>
        </w:rPr>
        <w:t xml:space="preserve">”) has </w:t>
      </w:r>
      <w:r>
        <w:rPr>
          <w:rFonts w:ascii="Book Antiqua" w:hAnsi="Book Antiqua"/>
          <w:szCs w:val="24"/>
          <w:lang w:val="en-GB"/>
        </w:rPr>
        <w:t xml:space="preserve">been made aware of requests by </w:t>
      </w:r>
      <w:r w:rsidRPr="00BB4737">
        <w:rPr>
          <w:rFonts w:ascii="Book Antiqua" w:hAnsi="Book Antiqua"/>
          <w:szCs w:val="24"/>
          <w:lang w:val="en-GB"/>
        </w:rPr>
        <w:t xml:space="preserve">Allstream, Cogeco Cable, Eastlink, Shaw, Rogers and Videotron </w:t>
      </w:r>
      <w:r w:rsidR="0067152E">
        <w:rPr>
          <w:rFonts w:ascii="Book Antiqua" w:hAnsi="Book Antiqua"/>
          <w:szCs w:val="24"/>
          <w:lang w:val="en-GB"/>
        </w:rPr>
        <w:t xml:space="preserve">(“the Carriers”) </w:t>
      </w:r>
      <w:r w:rsidRPr="00BB4737">
        <w:rPr>
          <w:rFonts w:ascii="Book Antiqua" w:hAnsi="Book Antiqua"/>
          <w:szCs w:val="24"/>
          <w:lang w:val="en-GB"/>
        </w:rPr>
        <w:t>that the Ontario Energy Board (“the OEB”) issue an order:</w:t>
      </w:r>
    </w:p>
    <w:p w:rsidR="00BB4737" w:rsidRDefault="00BB4737" w:rsidP="00BB4737">
      <w:pPr>
        <w:suppressAutoHyphens/>
        <w:spacing w:line="360" w:lineRule="auto"/>
        <w:ind w:left="1440"/>
        <w:rPr>
          <w:rFonts w:ascii="Book Antiqua" w:hAnsi="Book Antiqua"/>
          <w:szCs w:val="24"/>
          <w:lang w:val="en-GB"/>
        </w:rPr>
      </w:pPr>
    </w:p>
    <w:p w:rsidR="00BB4737" w:rsidRPr="00BB4737" w:rsidRDefault="00BB4737" w:rsidP="00BB4737">
      <w:pPr>
        <w:suppressAutoHyphens/>
        <w:spacing w:line="360" w:lineRule="auto"/>
        <w:ind w:left="1440"/>
        <w:rPr>
          <w:rFonts w:ascii="Book Antiqua" w:hAnsi="Book Antiqua"/>
          <w:szCs w:val="24"/>
          <w:lang w:val="en-GB"/>
        </w:rPr>
      </w:pPr>
      <w:r w:rsidRPr="00BB4737">
        <w:rPr>
          <w:rFonts w:ascii="Book Antiqua" w:hAnsi="Book Antiqua"/>
          <w:szCs w:val="24"/>
          <w:lang w:val="en-GB"/>
        </w:rPr>
        <w:t>a)  granting the Carriers status as parties to this proceeding and leave to file a motion requesting that the Board review and vary the Decision as it relates to the Pole Attachment Rate approved in the Decision;</w:t>
      </w:r>
    </w:p>
    <w:p w:rsidR="00BB4737" w:rsidRDefault="00BB4737" w:rsidP="00BB4737">
      <w:pPr>
        <w:suppressAutoHyphens/>
        <w:spacing w:line="360" w:lineRule="auto"/>
        <w:ind w:left="1440"/>
        <w:rPr>
          <w:rFonts w:ascii="Book Antiqua" w:hAnsi="Book Antiqua"/>
          <w:szCs w:val="24"/>
          <w:lang w:val="en-GB"/>
        </w:rPr>
      </w:pPr>
    </w:p>
    <w:p w:rsidR="00BB4737" w:rsidRPr="00BB4737" w:rsidRDefault="00BB4737" w:rsidP="00BB4737">
      <w:pPr>
        <w:suppressAutoHyphens/>
        <w:spacing w:line="360" w:lineRule="auto"/>
        <w:ind w:left="1440"/>
        <w:rPr>
          <w:rFonts w:ascii="Book Antiqua" w:hAnsi="Book Antiqua"/>
          <w:szCs w:val="24"/>
          <w:lang w:val="en-GB"/>
        </w:rPr>
      </w:pPr>
      <w:r w:rsidRPr="00BB4737">
        <w:rPr>
          <w:rFonts w:ascii="Book Antiqua" w:hAnsi="Book Antiqua"/>
          <w:szCs w:val="24"/>
          <w:lang w:val="en-GB"/>
        </w:rPr>
        <w:t>b)  extending the deadline for Carriers to file a motion to review and vary the Decision until 20 days after the date on which the Board grants the Carriers leave to file the review and vary motion; and</w:t>
      </w:r>
    </w:p>
    <w:p w:rsidR="00BB4737" w:rsidRDefault="00BB4737" w:rsidP="00BB4737">
      <w:pPr>
        <w:suppressAutoHyphens/>
        <w:spacing w:line="360" w:lineRule="auto"/>
        <w:ind w:left="1440"/>
        <w:rPr>
          <w:rFonts w:ascii="Book Antiqua" w:hAnsi="Book Antiqua"/>
          <w:szCs w:val="24"/>
          <w:lang w:val="en-GB"/>
        </w:rPr>
      </w:pPr>
    </w:p>
    <w:p w:rsidR="00BB4737" w:rsidRPr="00BB4737" w:rsidRDefault="00BB4737" w:rsidP="00BB4737">
      <w:pPr>
        <w:suppressAutoHyphens/>
        <w:spacing w:line="360" w:lineRule="auto"/>
        <w:ind w:left="1440"/>
        <w:rPr>
          <w:rFonts w:ascii="Book Antiqua" w:hAnsi="Book Antiqua"/>
          <w:szCs w:val="24"/>
          <w:lang w:val="en-GB"/>
        </w:rPr>
      </w:pPr>
      <w:r w:rsidRPr="00BB4737">
        <w:rPr>
          <w:rFonts w:ascii="Book Antiqua" w:hAnsi="Book Antiqua"/>
          <w:szCs w:val="24"/>
          <w:lang w:val="en-GB"/>
        </w:rPr>
        <w:t xml:space="preserve">c)  </w:t>
      </w:r>
      <w:proofErr w:type="gramStart"/>
      <w:r w:rsidRPr="00BB4737">
        <w:rPr>
          <w:rFonts w:ascii="Book Antiqua" w:hAnsi="Book Antiqua"/>
          <w:szCs w:val="24"/>
          <w:lang w:val="en-GB"/>
        </w:rPr>
        <w:t>staying</w:t>
      </w:r>
      <w:proofErr w:type="gramEnd"/>
      <w:r w:rsidRPr="00BB4737">
        <w:rPr>
          <w:rFonts w:ascii="Book Antiqua" w:hAnsi="Book Antiqua"/>
          <w:szCs w:val="24"/>
          <w:lang w:val="en-GB"/>
        </w:rPr>
        <w:t xml:space="preserve"> that part of the Decision and any resulting Order that approves the Pole Attachment Rate.  (Rogers letter, 13 April 2015, para. 46)</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2.</w:t>
      </w:r>
      <w:r w:rsidRPr="00BB4737">
        <w:rPr>
          <w:rFonts w:ascii="Book Antiqua" w:hAnsi="Book Antiqua"/>
          <w:szCs w:val="24"/>
          <w:lang w:val="en-GB"/>
        </w:rPr>
        <w:tab/>
      </w:r>
      <w:r>
        <w:rPr>
          <w:rFonts w:ascii="Book Antiqua" w:hAnsi="Book Antiqua"/>
          <w:szCs w:val="24"/>
          <w:lang w:val="en-GB"/>
        </w:rPr>
        <w:t>A</w:t>
      </w:r>
      <w:r w:rsidRPr="00BB4737">
        <w:rPr>
          <w:rFonts w:ascii="Book Antiqua" w:hAnsi="Book Antiqua"/>
          <w:szCs w:val="24"/>
          <w:lang w:val="en-GB"/>
        </w:rPr>
        <w:t xml:space="preserve"> list of </w:t>
      </w:r>
      <w:r>
        <w:rPr>
          <w:rFonts w:ascii="Book Antiqua" w:hAnsi="Book Antiqua"/>
          <w:szCs w:val="24"/>
          <w:lang w:val="en-GB"/>
        </w:rPr>
        <w:t>CCSA members that operate in the Province of Ontario</w:t>
      </w:r>
      <w:r w:rsidRPr="00BB4737">
        <w:rPr>
          <w:rFonts w:ascii="Book Antiqua" w:hAnsi="Book Antiqua"/>
          <w:szCs w:val="24"/>
          <w:lang w:val="en-GB"/>
        </w:rPr>
        <w:t xml:space="preserve"> is set out in the Appendix to this letter.</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3.</w:t>
      </w:r>
      <w:r w:rsidRPr="00BB4737">
        <w:rPr>
          <w:rFonts w:ascii="Book Antiqua" w:hAnsi="Book Antiqua"/>
          <w:szCs w:val="24"/>
          <w:lang w:val="en-GB"/>
        </w:rPr>
        <w:tab/>
      </w:r>
      <w:r>
        <w:rPr>
          <w:rFonts w:ascii="Book Antiqua" w:hAnsi="Book Antiqua"/>
          <w:szCs w:val="24"/>
          <w:lang w:val="en-GB"/>
        </w:rPr>
        <w:t>CCSA</w:t>
      </w:r>
      <w:r w:rsidRPr="00BB4737">
        <w:rPr>
          <w:rFonts w:ascii="Book Antiqua" w:hAnsi="Book Antiqua"/>
          <w:szCs w:val="24"/>
          <w:lang w:val="en-GB"/>
        </w:rPr>
        <w:t xml:space="preserve"> member companies are small</w:t>
      </w:r>
      <w:r>
        <w:rPr>
          <w:rFonts w:ascii="Book Antiqua" w:hAnsi="Book Antiqua"/>
          <w:szCs w:val="24"/>
          <w:lang w:val="en-GB"/>
        </w:rPr>
        <w:t>er</w:t>
      </w:r>
      <w:r w:rsidRPr="00BB4737">
        <w:rPr>
          <w:rFonts w:ascii="Book Antiqua" w:hAnsi="Book Antiqua"/>
          <w:szCs w:val="24"/>
          <w:lang w:val="en-GB"/>
        </w:rPr>
        <w:t xml:space="preserve"> </w:t>
      </w:r>
      <w:r>
        <w:rPr>
          <w:rFonts w:ascii="Book Antiqua" w:hAnsi="Book Antiqua"/>
          <w:szCs w:val="24"/>
          <w:lang w:val="en-GB"/>
        </w:rPr>
        <w:t>cable, telephone and IPTV companies</w:t>
      </w:r>
      <w:r w:rsidRPr="00BB4737">
        <w:rPr>
          <w:rFonts w:ascii="Book Antiqua" w:hAnsi="Book Antiqua"/>
          <w:szCs w:val="24"/>
          <w:lang w:val="en-GB"/>
        </w:rPr>
        <w:t xml:space="preserve"> that operate networks </w:t>
      </w:r>
      <w:r>
        <w:rPr>
          <w:rFonts w:ascii="Book Antiqua" w:hAnsi="Book Antiqua"/>
          <w:szCs w:val="24"/>
          <w:lang w:val="en-GB"/>
        </w:rPr>
        <w:t>across Canada, including throughout</w:t>
      </w:r>
      <w:r w:rsidRPr="00BB4737">
        <w:rPr>
          <w:rFonts w:ascii="Book Antiqua" w:hAnsi="Book Antiqua"/>
          <w:szCs w:val="24"/>
          <w:lang w:val="en-GB"/>
        </w:rPr>
        <w:t xml:space="preserve"> Ontario.  They provide telephone, high-speed Internet and video services over their networks</w:t>
      </w:r>
      <w:r>
        <w:rPr>
          <w:rFonts w:ascii="Book Antiqua" w:hAnsi="Book Antiqua"/>
          <w:szCs w:val="24"/>
          <w:lang w:val="en-GB"/>
        </w:rPr>
        <w:t>, primarily</w:t>
      </w:r>
      <w:r w:rsidRPr="00BB4737">
        <w:rPr>
          <w:rFonts w:ascii="Book Antiqua" w:hAnsi="Book Antiqua"/>
          <w:szCs w:val="24"/>
          <w:lang w:val="en-GB"/>
        </w:rPr>
        <w:t xml:space="preserve"> to rural </w:t>
      </w:r>
      <w:r w:rsidR="0067152E">
        <w:rPr>
          <w:rFonts w:ascii="Book Antiqua" w:hAnsi="Book Antiqua"/>
          <w:szCs w:val="24"/>
          <w:lang w:val="en-GB"/>
        </w:rPr>
        <w:t>communities</w:t>
      </w:r>
      <w:r>
        <w:rPr>
          <w:rFonts w:ascii="Book Antiqua" w:hAnsi="Book Antiqua"/>
          <w:szCs w:val="24"/>
          <w:lang w:val="en-GB"/>
        </w:rPr>
        <w:t>.</w:t>
      </w:r>
      <w:r w:rsidRPr="00BB4737">
        <w:rPr>
          <w:rFonts w:ascii="Book Antiqua" w:hAnsi="Book Antiqua"/>
          <w:szCs w:val="24"/>
          <w:lang w:val="en-GB"/>
        </w:rPr>
        <w:t xml:space="preserve">  Many Ontario-based </w:t>
      </w:r>
      <w:r>
        <w:rPr>
          <w:rFonts w:ascii="Book Antiqua" w:hAnsi="Book Antiqua"/>
          <w:szCs w:val="24"/>
          <w:lang w:val="en-GB"/>
        </w:rPr>
        <w:t>CCSA</w:t>
      </w:r>
      <w:r w:rsidRPr="00BB4737">
        <w:rPr>
          <w:rFonts w:ascii="Book Antiqua" w:hAnsi="Book Antiqua"/>
          <w:szCs w:val="24"/>
          <w:lang w:val="en-GB"/>
        </w:rPr>
        <w:t xml:space="preserve"> members have attached elements of their wireline networks to the support structures of Hydro One and pay its pole attachment rate.  </w:t>
      </w:r>
      <w:r>
        <w:rPr>
          <w:rFonts w:ascii="Book Antiqua" w:hAnsi="Book Antiqua"/>
          <w:szCs w:val="24"/>
          <w:lang w:val="en-GB"/>
        </w:rPr>
        <w:t>CCSA</w:t>
      </w:r>
      <w:r w:rsidRPr="00BB4737">
        <w:rPr>
          <w:rFonts w:ascii="Book Antiqua" w:hAnsi="Book Antiqua"/>
          <w:szCs w:val="24"/>
          <w:lang w:val="en-GB"/>
        </w:rPr>
        <w:t xml:space="preserve"> members’ ability to provide high quality services to their customers depends on reasonable, and reasonably priced, access to support structures such Hydro One’s distribution poles.  The rate charged by support structures for owners for access to those support structures is a significant component of their cost structure</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4.</w:t>
      </w:r>
      <w:r w:rsidRPr="00BB4737">
        <w:rPr>
          <w:rFonts w:ascii="Book Antiqua" w:hAnsi="Book Antiqua"/>
          <w:szCs w:val="24"/>
          <w:lang w:val="en-GB"/>
        </w:rPr>
        <w:tab/>
      </w:r>
      <w:r>
        <w:rPr>
          <w:rFonts w:ascii="Book Antiqua" w:hAnsi="Book Antiqua"/>
          <w:szCs w:val="24"/>
          <w:lang w:val="en-GB"/>
        </w:rPr>
        <w:t>CCSA</w:t>
      </w:r>
      <w:r w:rsidRPr="00BB4737">
        <w:rPr>
          <w:rFonts w:ascii="Book Antiqua" w:hAnsi="Book Antiqua"/>
          <w:szCs w:val="24"/>
          <w:lang w:val="en-GB"/>
        </w:rPr>
        <w:t xml:space="preserve"> and its member companies have only recently been made aware of the OEB’s decision and, like the </w:t>
      </w:r>
      <w:r>
        <w:rPr>
          <w:rFonts w:ascii="Book Antiqua" w:hAnsi="Book Antiqua"/>
          <w:szCs w:val="24"/>
          <w:lang w:val="en-GB"/>
        </w:rPr>
        <w:t>larger c</w:t>
      </w:r>
      <w:r w:rsidRPr="00BB4737">
        <w:rPr>
          <w:rFonts w:ascii="Book Antiqua" w:hAnsi="Book Antiqua"/>
          <w:szCs w:val="24"/>
          <w:lang w:val="en-GB"/>
        </w:rPr>
        <w:t>arriers</w:t>
      </w:r>
      <w:r>
        <w:rPr>
          <w:rFonts w:ascii="Book Antiqua" w:hAnsi="Book Antiqua"/>
          <w:szCs w:val="24"/>
          <w:lang w:val="en-GB"/>
        </w:rPr>
        <w:t xml:space="preserve"> listed above</w:t>
      </w:r>
      <w:r w:rsidRPr="00BB4737">
        <w:rPr>
          <w:rFonts w:ascii="Book Antiqua" w:hAnsi="Book Antiqua"/>
          <w:szCs w:val="24"/>
          <w:lang w:val="en-GB"/>
        </w:rPr>
        <w:t>, received no advance notice of this rate increase application or the OEB’s decision.</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5.</w:t>
      </w:r>
      <w:r w:rsidRPr="00BB4737">
        <w:rPr>
          <w:rFonts w:ascii="Book Antiqua" w:hAnsi="Book Antiqua"/>
          <w:szCs w:val="24"/>
          <w:lang w:val="en-GB"/>
        </w:rPr>
        <w:tab/>
      </w:r>
      <w:r>
        <w:rPr>
          <w:rFonts w:ascii="Book Antiqua" w:hAnsi="Book Antiqua"/>
          <w:szCs w:val="24"/>
          <w:lang w:val="en-GB"/>
        </w:rPr>
        <w:t>CCSA</w:t>
      </w:r>
      <w:r w:rsidRPr="00BB4737">
        <w:rPr>
          <w:rFonts w:ascii="Book Antiqua" w:hAnsi="Book Antiqua"/>
          <w:szCs w:val="24"/>
          <w:lang w:val="en-GB"/>
        </w:rPr>
        <w:t xml:space="preserve"> notes the following assertion by Rogers:</w:t>
      </w:r>
    </w:p>
    <w:p w:rsidR="0067152E" w:rsidRDefault="0067152E" w:rsidP="00BB4737">
      <w:pPr>
        <w:suppressAutoHyphens/>
        <w:spacing w:line="360" w:lineRule="auto"/>
        <w:ind w:left="1440"/>
        <w:rPr>
          <w:rFonts w:ascii="Book Antiqua" w:hAnsi="Book Antiqua"/>
          <w:szCs w:val="24"/>
          <w:lang w:val="en-GB"/>
        </w:rPr>
      </w:pPr>
    </w:p>
    <w:p w:rsidR="00BB4737" w:rsidRPr="00BB4737" w:rsidRDefault="00BB4737" w:rsidP="00BB4737">
      <w:pPr>
        <w:suppressAutoHyphens/>
        <w:spacing w:line="360" w:lineRule="auto"/>
        <w:ind w:left="1440"/>
        <w:rPr>
          <w:rFonts w:ascii="Book Antiqua" w:hAnsi="Book Antiqua"/>
          <w:szCs w:val="24"/>
          <w:lang w:val="en-GB"/>
        </w:rPr>
      </w:pPr>
      <w:r w:rsidRPr="00BB4737">
        <w:rPr>
          <w:rFonts w:ascii="Book Antiqua" w:hAnsi="Book Antiqua"/>
          <w:szCs w:val="24"/>
          <w:lang w:val="en-GB"/>
        </w:rPr>
        <w:t>The only evidence about the Pole Attachment rate is found on a single page buried about 2,900 pages later in a Supporting Schedule called “Miscellaneous Charges”, which is one of 12 supporting schedules to Exhibit G - Cost Allocation and Rate Design.  Significantly, the written direct evidence for Cost Allocation and Rate Design, which is contained in 15 other schedules, contains no reference to the Pole Attachment Rate. (Rogers letter, 13 April 2015, para. 30)</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6.</w:t>
      </w:r>
      <w:r w:rsidRPr="00BB4737">
        <w:rPr>
          <w:rFonts w:ascii="Book Antiqua" w:hAnsi="Book Antiqua"/>
          <w:szCs w:val="24"/>
          <w:lang w:val="en-GB"/>
        </w:rPr>
        <w:tab/>
      </w:r>
      <w:proofErr w:type="gramStart"/>
      <w:r w:rsidRPr="00BB4737">
        <w:rPr>
          <w:rFonts w:ascii="Book Antiqua" w:hAnsi="Book Antiqua"/>
          <w:szCs w:val="24"/>
          <w:lang w:val="en-GB"/>
        </w:rPr>
        <w:t>At</w:t>
      </w:r>
      <w:proofErr w:type="gramEnd"/>
      <w:r w:rsidRPr="00BB4737">
        <w:rPr>
          <w:rFonts w:ascii="Book Antiqua" w:hAnsi="Book Antiqua"/>
          <w:szCs w:val="24"/>
          <w:lang w:val="en-GB"/>
        </w:rPr>
        <w:t xml:space="preserve"> page 5 of its letter, dated 7 April 2015, Hydro One states:</w:t>
      </w:r>
    </w:p>
    <w:p w:rsidR="0067152E" w:rsidRDefault="0067152E" w:rsidP="00BB4737">
      <w:pPr>
        <w:suppressAutoHyphens/>
        <w:spacing w:line="360" w:lineRule="auto"/>
        <w:ind w:left="1440"/>
        <w:rPr>
          <w:rFonts w:ascii="Book Antiqua" w:hAnsi="Book Antiqua"/>
          <w:szCs w:val="24"/>
          <w:lang w:val="en-GB"/>
        </w:rPr>
      </w:pPr>
    </w:p>
    <w:p w:rsidR="00BB4737" w:rsidRPr="00BB4737" w:rsidRDefault="00BB4737" w:rsidP="00BB4737">
      <w:pPr>
        <w:suppressAutoHyphens/>
        <w:spacing w:line="360" w:lineRule="auto"/>
        <w:ind w:left="1440"/>
        <w:rPr>
          <w:rFonts w:ascii="Book Antiqua" w:hAnsi="Book Antiqua"/>
          <w:szCs w:val="24"/>
          <w:lang w:val="en-GB"/>
        </w:rPr>
      </w:pPr>
      <w:r w:rsidRPr="00BB4737">
        <w:rPr>
          <w:rFonts w:ascii="Book Antiqua" w:hAnsi="Book Antiqua"/>
          <w:szCs w:val="24"/>
          <w:lang w:val="en-GB"/>
        </w:rPr>
        <w:t xml:space="preserve">Each of the Cable parties </w:t>
      </w:r>
      <w:proofErr w:type="gramStart"/>
      <w:r w:rsidRPr="00BB4737">
        <w:rPr>
          <w:rFonts w:ascii="Book Antiqua" w:hAnsi="Book Antiqua"/>
          <w:szCs w:val="24"/>
          <w:lang w:val="en-GB"/>
        </w:rPr>
        <w:t>are</w:t>
      </w:r>
      <w:proofErr w:type="gramEnd"/>
      <w:r w:rsidRPr="00BB4737">
        <w:rPr>
          <w:rFonts w:ascii="Book Antiqua" w:hAnsi="Book Antiqua"/>
          <w:szCs w:val="24"/>
          <w:lang w:val="en-GB"/>
        </w:rPr>
        <w:t xml:space="preserve"> large, sophisticated corporations that are regulated entities themselves.  All of them had the opportunity to participate but failed to do so.  Each had an obligation and every opportunity to determine whether the application would impact them...</w:t>
      </w:r>
    </w:p>
    <w:p w:rsidR="00BB4737" w:rsidRP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7.</w:t>
      </w:r>
      <w:r w:rsidRPr="00BB4737">
        <w:rPr>
          <w:rFonts w:ascii="Book Antiqua" w:hAnsi="Book Antiqua"/>
          <w:szCs w:val="24"/>
          <w:lang w:val="en-GB"/>
        </w:rPr>
        <w:tab/>
        <w:t xml:space="preserve">As noted earlier, </w:t>
      </w:r>
      <w:r>
        <w:rPr>
          <w:rFonts w:ascii="Book Antiqua" w:hAnsi="Book Antiqua"/>
          <w:szCs w:val="24"/>
          <w:lang w:val="en-GB"/>
        </w:rPr>
        <w:t>CCSA</w:t>
      </w:r>
      <w:r w:rsidRPr="00BB4737">
        <w:rPr>
          <w:rFonts w:ascii="Book Antiqua" w:hAnsi="Book Antiqua"/>
          <w:szCs w:val="24"/>
          <w:lang w:val="en-GB"/>
        </w:rPr>
        <w:t xml:space="preserve"> member companies are small businesses </w:t>
      </w:r>
      <w:r>
        <w:rPr>
          <w:rFonts w:ascii="Book Antiqua" w:hAnsi="Book Antiqua"/>
          <w:szCs w:val="24"/>
          <w:lang w:val="en-GB"/>
        </w:rPr>
        <w:t xml:space="preserve">that </w:t>
      </w:r>
      <w:r w:rsidRPr="00BB4737">
        <w:rPr>
          <w:rFonts w:ascii="Book Antiqua" w:hAnsi="Book Antiqua"/>
          <w:szCs w:val="24"/>
          <w:lang w:val="en-GB"/>
        </w:rPr>
        <w:t>operat</w:t>
      </w:r>
      <w:r>
        <w:rPr>
          <w:rFonts w:ascii="Book Antiqua" w:hAnsi="Book Antiqua"/>
          <w:szCs w:val="24"/>
          <w:lang w:val="en-GB"/>
        </w:rPr>
        <w:t xml:space="preserve">e throughout </w:t>
      </w:r>
      <w:r w:rsidRPr="00BB4737">
        <w:rPr>
          <w:rFonts w:ascii="Book Antiqua" w:hAnsi="Book Antiqua"/>
          <w:szCs w:val="24"/>
          <w:lang w:val="en-GB"/>
        </w:rPr>
        <w:t>Ontario</w:t>
      </w:r>
      <w:r>
        <w:rPr>
          <w:rFonts w:ascii="Book Antiqua" w:hAnsi="Book Antiqua"/>
          <w:szCs w:val="24"/>
          <w:lang w:val="en-GB"/>
        </w:rPr>
        <w:t>, primarily in rural communities</w:t>
      </w:r>
      <w:r w:rsidRPr="00BB4737">
        <w:rPr>
          <w:rFonts w:ascii="Book Antiqua" w:hAnsi="Book Antiqua"/>
          <w:szCs w:val="24"/>
          <w:lang w:val="en-GB"/>
        </w:rPr>
        <w:t xml:space="preserve">.  </w:t>
      </w:r>
      <w:r w:rsidR="0067152E">
        <w:rPr>
          <w:rFonts w:ascii="Book Antiqua" w:hAnsi="Book Antiqua"/>
          <w:szCs w:val="24"/>
          <w:lang w:val="en-GB"/>
        </w:rPr>
        <w:t>Very few</w:t>
      </w:r>
      <w:r w:rsidRPr="00BB4737">
        <w:rPr>
          <w:rFonts w:ascii="Book Antiqua" w:hAnsi="Book Antiqua"/>
          <w:szCs w:val="24"/>
          <w:lang w:val="en-GB"/>
        </w:rPr>
        <w:t xml:space="preserve"> of these </w:t>
      </w:r>
      <w:r>
        <w:rPr>
          <w:rFonts w:ascii="Book Antiqua" w:hAnsi="Book Antiqua"/>
          <w:szCs w:val="24"/>
          <w:lang w:val="en-GB"/>
        </w:rPr>
        <w:t>companies</w:t>
      </w:r>
      <w:r w:rsidRPr="00BB4737">
        <w:rPr>
          <w:rFonts w:ascii="Book Antiqua" w:hAnsi="Book Antiqua"/>
          <w:szCs w:val="24"/>
          <w:lang w:val="en-GB"/>
        </w:rPr>
        <w:t xml:space="preserve"> have staff dedicated to regulatory issues and for its part, due to </w:t>
      </w:r>
      <w:r>
        <w:rPr>
          <w:rFonts w:ascii="Book Antiqua" w:hAnsi="Book Antiqua"/>
          <w:szCs w:val="24"/>
          <w:lang w:val="en-GB"/>
        </w:rPr>
        <w:t xml:space="preserve">its national scope and </w:t>
      </w:r>
      <w:r w:rsidRPr="00BB4737">
        <w:rPr>
          <w:rFonts w:ascii="Book Antiqua" w:hAnsi="Book Antiqua"/>
          <w:szCs w:val="24"/>
          <w:lang w:val="en-GB"/>
        </w:rPr>
        <w:t xml:space="preserve">limited </w:t>
      </w:r>
      <w:proofErr w:type="gramStart"/>
      <w:r w:rsidRPr="00BB4737">
        <w:rPr>
          <w:rFonts w:ascii="Book Antiqua" w:hAnsi="Book Antiqua"/>
          <w:szCs w:val="24"/>
          <w:lang w:val="en-GB"/>
        </w:rPr>
        <w:t>resources,</w:t>
      </w:r>
      <w:proofErr w:type="gramEnd"/>
      <w:r w:rsidRPr="00BB4737">
        <w:rPr>
          <w:rFonts w:ascii="Book Antiqua" w:hAnsi="Book Antiqua"/>
          <w:szCs w:val="24"/>
          <w:lang w:val="en-GB"/>
        </w:rPr>
        <w:t xml:space="preserve"> </w:t>
      </w:r>
      <w:r>
        <w:rPr>
          <w:rFonts w:ascii="Book Antiqua" w:hAnsi="Book Antiqua"/>
          <w:szCs w:val="24"/>
          <w:lang w:val="en-GB"/>
        </w:rPr>
        <w:t>CCSA</w:t>
      </w:r>
      <w:r w:rsidRPr="00BB4737">
        <w:rPr>
          <w:rFonts w:ascii="Book Antiqua" w:hAnsi="Book Antiqua"/>
          <w:szCs w:val="24"/>
          <w:lang w:val="en-GB"/>
        </w:rPr>
        <w:t xml:space="preserve"> does not monitor OEB proceedings.  In light of the fact that no notice was provided and given that the proposed Pole Attachment rate was buried in a record consisting of many thousands of pages, Hydro One’s claim that an opportunity to participate ever existed rings hollow.</w:t>
      </w:r>
    </w:p>
    <w:p w:rsidR="00BB4737" w:rsidRPr="00BB4737" w:rsidRDefault="00BB4737" w:rsidP="00BB4737">
      <w:pPr>
        <w:suppressAutoHyphens/>
        <w:spacing w:line="360" w:lineRule="auto"/>
        <w:rPr>
          <w:rFonts w:ascii="Book Antiqua" w:hAnsi="Book Antiqua"/>
          <w:szCs w:val="24"/>
          <w:lang w:val="en-GB"/>
        </w:rPr>
      </w:pPr>
    </w:p>
    <w:p w:rsid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8.</w:t>
      </w:r>
      <w:r w:rsidRPr="00BB4737">
        <w:rPr>
          <w:rFonts w:ascii="Book Antiqua" w:hAnsi="Book Antiqua"/>
          <w:szCs w:val="24"/>
          <w:lang w:val="en-GB"/>
        </w:rPr>
        <w:tab/>
        <w:t xml:space="preserve">The rate increase will result in substantial additional payments to Hydro One.   Due to the lack of notice, </w:t>
      </w:r>
      <w:r>
        <w:rPr>
          <w:rFonts w:ascii="Book Antiqua" w:hAnsi="Book Antiqua"/>
          <w:szCs w:val="24"/>
          <w:lang w:val="en-GB"/>
        </w:rPr>
        <w:t>CCSA</w:t>
      </w:r>
      <w:r w:rsidRPr="00BB4737">
        <w:rPr>
          <w:rFonts w:ascii="Book Antiqua" w:hAnsi="Book Antiqua"/>
          <w:szCs w:val="24"/>
          <w:lang w:val="en-GB"/>
        </w:rPr>
        <w:t xml:space="preserve"> members have had no opportunity to anticipate or factor in potential additional costs into their budgeting process for the current year.  </w:t>
      </w:r>
    </w:p>
    <w:p w:rsidR="00BB4737" w:rsidRDefault="00BB4737" w:rsidP="00BB4737">
      <w:pPr>
        <w:suppressAutoHyphens/>
        <w:spacing w:line="360" w:lineRule="auto"/>
        <w:rPr>
          <w:rFonts w:ascii="Book Antiqua" w:hAnsi="Book Antiqua"/>
          <w:szCs w:val="24"/>
          <w:lang w:val="en-GB"/>
        </w:rPr>
      </w:pPr>
    </w:p>
    <w:p w:rsidR="00BB4737" w:rsidRDefault="00BB4737" w:rsidP="00BB4737">
      <w:pPr>
        <w:suppressAutoHyphens/>
        <w:spacing w:line="360" w:lineRule="auto"/>
        <w:rPr>
          <w:rFonts w:ascii="Book Antiqua" w:hAnsi="Book Antiqua"/>
          <w:szCs w:val="24"/>
          <w:lang w:val="en-GB"/>
        </w:rPr>
      </w:pPr>
      <w:r>
        <w:rPr>
          <w:rFonts w:ascii="Book Antiqua" w:hAnsi="Book Antiqua"/>
          <w:szCs w:val="24"/>
          <w:lang w:val="en-GB"/>
        </w:rPr>
        <w:t>9.</w:t>
      </w:r>
      <w:r>
        <w:rPr>
          <w:rFonts w:ascii="Book Antiqua" w:hAnsi="Book Antiqua"/>
          <w:szCs w:val="24"/>
          <w:lang w:val="en-GB"/>
        </w:rPr>
        <w:tab/>
        <w:t>CCSA</w:t>
      </w:r>
      <w:r w:rsidRPr="00BB4737">
        <w:rPr>
          <w:rFonts w:ascii="Book Antiqua" w:hAnsi="Book Antiqua"/>
          <w:szCs w:val="24"/>
          <w:lang w:val="en-GB"/>
        </w:rPr>
        <w:t xml:space="preserve"> members have been blind-sided in a manner that will result in significant financial hardship.  Moreover, </w:t>
      </w:r>
      <w:r w:rsidR="0067152E">
        <w:rPr>
          <w:rFonts w:ascii="Book Antiqua" w:hAnsi="Book Antiqua"/>
          <w:szCs w:val="24"/>
          <w:lang w:val="en-GB"/>
        </w:rPr>
        <w:t>CCSA</w:t>
      </w:r>
      <w:r w:rsidRPr="00BB4737">
        <w:rPr>
          <w:rFonts w:ascii="Book Antiqua" w:hAnsi="Book Antiqua"/>
          <w:szCs w:val="24"/>
          <w:lang w:val="en-GB"/>
        </w:rPr>
        <w:t xml:space="preserve"> member companies have, comparatively, significantly less capacity to absorb these substantial impacts of this rate increase than do the larger Carriers.</w:t>
      </w:r>
    </w:p>
    <w:p w:rsidR="00BB4737" w:rsidRDefault="00BB4737" w:rsidP="00BB4737">
      <w:pPr>
        <w:suppressAutoHyphens/>
        <w:spacing w:line="360" w:lineRule="auto"/>
        <w:rPr>
          <w:rFonts w:ascii="Book Antiqua" w:hAnsi="Book Antiqua"/>
          <w:szCs w:val="24"/>
          <w:lang w:val="en-GB"/>
        </w:rPr>
      </w:pPr>
    </w:p>
    <w:p w:rsidR="00BB4737" w:rsidRPr="00BB4737" w:rsidRDefault="00BB4737" w:rsidP="00BB4737">
      <w:pPr>
        <w:suppressAutoHyphens/>
        <w:spacing w:line="360" w:lineRule="auto"/>
        <w:rPr>
          <w:rFonts w:ascii="Book Antiqua" w:hAnsi="Book Antiqua"/>
          <w:szCs w:val="24"/>
          <w:lang w:val="en-GB"/>
        </w:rPr>
      </w:pPr>
      <w:r w:rsidRPr="00BB4737">
        <w:rPr>
          <w:rFonts w:ascii="Book Antiqua" w:hAnsi="Book Antiqua"/>
          <w:szCs w:val="24"/>
          <w:lang w:val="en-GB"/>
        </w:rPr>
        <w:t>9.</w:t>
      </w:r>
      <w:r w:rsidRPr="00BB4737">
        <w:rPr>
          <w:rFonts w:ascii="Book Antiqua" w:hAnsi="Book Antiqua"/>
          <w:szCs w:val="24"/>
          <w:lang w:val="en-GB"/>
        </w:rPr>
        <w:tab/>
        <w:t xml:space="preserve">For all of these reasons, </w:t>
      </w:r>
      <w:r>
        <w:rPr>
          <w:rFonts w:ascii="Book Antiqua" w:hAnsi="Book Antiqua"/>
          <w:szCs w:val="24"/>
          <w:lang w:val="en-GB"/>
        </w:rPr>
        <w:t>CCSA</w:t>
      </w:r>
      <w:r w:rsidRPr="00BB4737">
        <w:rPr>
          <w:rFonts w:ascii="Book Antiqua" w:hAnsi="Book Antiqua"/>
          <w:szCs w:val="24"/>
          <w:lang w:val="en-GB"/>
        </w:rPr>
        <w:t xml:space="preserve"> submits that the OEB should grant the relief requested by the Carriers. </w:t>
      </w:r>
    </w:p>
    <w:p w:rsidR="00BB4737" w:rsidRPr="00BB4737" w:rsidRDefault="00BB4737" w:rsidP="00BB4737">
      <w:pPr>
        <w:suppressAutoHyphens/>
        <w:rPr>
          <w:rFonts w:ascii="Book Antiqua" w:hAnsi="Book Antiqua"/>
          <w:szCs w:val="24"/>
          <w:lang w:val="en-GB"/>
        </w:rPr>
      </w:pPr>
    </w:p>
    <w:p w:rsidR="00BB4737" w:rsidRPr="00BB4737" w:rsidRDefault="00BB4737" w:rsidP="00BB4737">
      <w:pPr>
        <w:rPr>
          <w:rFonts w:ascii="Book Antiqua" w:hAnsi="Book Antiqua"/>
          <w:szCs w:val="24"/>
        </w:rPr>
      </w:pPr>
      <w:r w:rsidRPr="00BB4737">
        <w:rPr>
          <w:rFonts w:ascii="Book Antiqua" w:hAnsi="Book Antiqua"/>
          <w:szCs w:val="24"/>
        </w:rPr>
        <w:t>Sincerely,</w:t>
      </w:r>
    </w:p>
    <w:p w:rsidR="00BB4737" w:rsidRPr="00BB4737" w:rsidRDefault="00BB4737" w:rsidP="00BB4737">
      <w:pPr>
        <w:rPr>
          <w:rFonts w:ascii="Book Antiqua" w:hAnsi="Book Antiqua"/>
          <w:szCs w:val="24"/>
        </w:rPr>
      </w:pPr>
    </w:p>
    <w:p w:rsidR="00BB4737" w:rsidRPr="00BB4737" w:rsidRDefault="00BB4737" w:rsidP="00BB4737">
      <w:pPr>
        <w:rPr>
          <w:rFonts w:ascii="Book Antiqua" w:hAnsi="Book Antiqua"/>
          <w:szCs w:val="24"/>
        </w:rPr>
      </w:pPr>
      <w:r w:rsidRPr="00BB4737">
        <w:rPr>
          <w:rFonts w:ascii="Book Antiqua" w:hAnsi="Book Antiqua"/>
          <w:noProof/>
          <w:lang w:val="en-CA" w:eastAsia="en-CA"/>
        </w:rPr>
        <w:drawing>
          <wp:inline distT="0" distB="0" distL="0" distR="0" wp14:anchorId="012CAD95" wp14:editId="2A0BDDAF">
            <wp:extent cx="1933575" cy="666750"/>
            <wp:effectExtent l="0" t="0" r="9525" b="0"/>
            <wp:docPr id="3" name="Picture 3" descr="Ch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a:ln>
                      <a:noFill/>
                    </a:ln>
                  </pic:spPr>
                </pic:pic>
              </a:graphicData>
            </a:graphic>
          </wp:inline>
        </w:drawing>
      </w:r>
    </w:p>
    <w:p w:rsidR="00BB4737" w:rsidRPr="00BB4737" w:rsidRDefault="00BB4737" w:rsidP="00BB4737">
      <w:pPr>
        <w:rPr>
          <w:rFonts w:ascii="Book Antiqua" w:hAnsi="Book Antiqua"/>
          <w:szCs w:val="24"/>
        </w:rPr>
      </w:pPr>
      <w:r w:rsidRPr="00BB4737">
        <w:rPr>
          <w:rFonts w:ascii="Book Antiqua" w:hAnsi="Book Antiqua"/>
          <w:szCs w:val="24"/>
        </w:rPr>
        <w:t>Christopher J. Edwards</w:t>
      </w:r>
    </w:p>
    <w:p w:rsidR="00BB4737" w:rsidRPr="00BB4737" w:rsidRDefault="00BB4737" w:rsidP="00BB4737">
      <w:pPr>
        <w:suppressAutoHyphens/>
        <w:rPr>
          <w:rFonts w:ascii="Book Antiqua" w:hAnsi="Book Antiqua"/>
          <w:szCs w:val="24"/>
          <w:lang w:val="en-GB"/>
        </w:rPr>
      </w:pPr>
      <w:r w:rsidRPr="00BB4737">
        <w:rPr>
          <w:rFonts w:ascii="Book Antiqua" w:hAnsi="Book Antiqua"/>
          <w:szCs w:val="24"/>
        </w:rPr>
        <w:t>Vice-President, Regulatory Affairs</w:t>
      </w:r>
    </w:p>
    <w:p w:rsidR="00BB4737" w:rsidRPr="0078270A" w:rsidRDefault="00BB4737" w:rsidP="00BB4737">
      <w:pPr>
        <w:suppressAutoHyphens/>
        <w:rPr>
          <w:rFonts w:ascii="Times New Roman" w:hAnsi="Times New Roman"/>
          <w:szCs w:val="24"/>
          <w:lang w:val="en-GB"/>
        </w:rPr>
      </w:pPr>
    </w:p>
    <w:p w:rsidR="00BB4737" w:rsidRDefault="00BB4737" w:rsidP="00BB4737">
      <w:pPr>
        <w:suppressAutoHyphens/>
        <w:rPr>
          <w:rFonts w:ascii="Times New Roman" w:hAnsi="Times New Roman"/>
          <w:szCs w:val="24"/>
          <w:lang w:val="en-GB"/>
        </w:rPr>
      </w:pPr>
      <w:r w:rsidRPr="0078270A">
        <w:rPr>
          <w:rFonts w:ascii="Times New Roman" w:hAnsi="Times New Roman"/>
          <w:szCs w:val="24"/>
          <w:lang w:val="en-GB"/>
        </w:rPr>
        <w:t>Cc:</w:t>
      </w:r>
      <w:r>
        <w:rPr>
          <w:rFonts w:ascii="Times New Roman" w:hAnsi="Times New Roman"/>
          <w:szCs w:val="24"/>
          <w:lang w:val="en-GB"/>
        </w:rPr>
        <w:tab/>
        <w:t>Hydro One</w:t>
      </w:r>
      <w:bookmarkStart w:id="0" w:name="_GoBack"/>
      <w:bookmarkEnd w:id="0"/>
    </w:p>
    <w:p w:rsidR="00BB4737" w:rsidRDefault="00BB4737" w:rsidP="00BB4737">
      <w:pPr>
        <w:suppressAutoHyphens/>
        <w:rPr>
          <w:rFonts w:ascii="Times New Roman" w:hAnsi="Times New Roman"/>
          <w:szCs w:val="24"/>
          <w:lang w:val="en-GB"/>
        </w:rPr>
      </w:pPr>
      <w:r>
        <w:rPr>
          <w:rFonts w:ascii="Times New Roman" w:hAnsi="Times New Roman"/>
          <w:szCs w:val="24"/>
          <w:lang w:val="en-GB"/>
        </w:rPr>
        <w:tab/>
        <w:t>Allstream</w:t>
      </w:r>
    </w:p>
    <w:p w:rsidR="00BB4737" w:rsidRDefault="00BB4737" w:rsidP="00BB4737">
      <w:pPr>
        <w:suppressAutoHyphens/>
        <w:rPr>
          <w:rFonts w:ascii="Times New Roman" w:hAnsi="Times New Roman"/>
          <w:szCs w:val="24"/>
          <w:lang w:val="en-GB"/>
        </w:rPr>
      </w:pPr>
      <w:r>
        <w:rPr>
          <w:rFonts w:ascii="Times New Roman" w:hAnsi="Times New Roman"/>
          <w:szCs w:val="24"/>
          <w:lang w:val="en-GB"/>
        </w:rPr>
        <w:tab/>
        <w:t>Cogeco Cable</w:t>
      </w:r>
    </w:p>
    <w:p w:rsidR="00BB4737" w:rsidRDefault="00BB4737" w:rsidP="00BB4737">
      <w:pPr>
        <w:suppressAutoHyphens/>
        <w:rPr>
          <w:rFonts w:ascii="Times New Roman" w:hAnsi="Times New Roman"/>
          <w:szCs w:val="24"/>
          <w:lang w:val="en-GB"/>
        </w:rPr>
      </w:pPr>
      <w:r>
        <w:rPr>
          <w:rFonts w:ascii="Times New Roman" w:hAnsi="Times New Roman"/>
          <w:szCs w:val="24"/>
          <w:lang w:val="en-GB"/>
        </w:rPr>
        <w:tab/>
        <w:t>Eastlink</w:t>
      </w:r>
    </w:p>
    <w:p w:rsidR="00BB4737" w:rsidRDefault="00BB4737" w:rsidP="00BB4737">
      <w:pPr>
        <w:suppressAutoHyphens/>
        <w:rPr>
          <w:rFonts w:ascii="Times New Roman" w:hAnsi="Times New Roman"/>
          <w:szCs w:val="24"/>
          <w:lang w:val="en-GB"/>
        </w:rPr>
      </w:pPr>
      <w:r>
        <w:rPr>
          <w:rFonts w:ascii="Times New Roman" w:hAnsi="Times New Roman"/>
          <w:szCs w:val="24"/>
          <w:lang w:val="en-GB"/>
        </w:rPr>
        <w:tab/>
        <w:t>Shaw</w:t>
      </w:r>
    </w:p>
    <w:p w:rsidR="00BB4737" w:rsidRDefault="00BB4737" w:rsidP="00BB4737">
      <w:pPr>
        <w:suppressAutoHyphens/>
        <w:rPr>
          <w:rFonts w:ascii="Times New Roman" w:hAnsi="Times New Roman"/>
          <w:szCs w:val="24"/>
          <w:lang w:val="en-GB"/>
        </w:rPr>
      </w:pPr>
      <w:r>
        <w:rPr>
          <w:rFonts w:ascii="Times New Roman" w:hAnsi="Times New Roman"/>
          <w:szCs w:val="24"/>
          <w:lang w:val="en-GB"/>
        </w:rPr>
        <w:tab/>
        <w:t>Rogers</w:t>
      </w:r>
    </w:p>
    <w:p w:rsidR="00BB4737" w:rsidRDefault="00BB4737" w:rsidP="00BB4737">
      <w:pPr>
        <w:suppressAutoHyphens/>
        <w:rPr>
          <w:rFonts w:ascii="Times New Roman" w:hAnsi="Times New Roman"/>
          <w:szCs w:val="24"/>
          <w:lang w:val="en-GB"/>
        </w:rPr>
      </w:pPr>
      <w:r>
        <w:rPr>
          <w:rFonts w:ascii="Times New Roman" w:hAnsi="Times New Roman"/>
          <w:szCs w:val="24"/>
          <w:lang w:val="en-GB"/>
        </w:rPr>
        <w:tab/>
        <w:t>Videotron</w:t>
      </w:r>
    </w:p>
    <w:p w:rsidR="0067152E" w:rsidRDefault="0067152E" w:rsidP="0067152E">
      <w:pPr>
        <w:suppressAutoHyphens/>
        <w:ind w:firstLine="720"/>
        <w:rPr>
          <w:rFonts w:ascii="Times New Roman" w:hAnsi="Times New Roman"/>
          <w:szCs w:val="24"/>
          <w:lang w:val="en-GB"/>
        </w:rPr>
      </w:pPr>
      <w:r>
        <w:rPr>
          <w:rFonts w:ascii="Times New Roman" w:hAnsi="Times New Roman"/>
          <w:szCs w:val="24"/>
          <w:lang w:val="en-GB"/>
        </w:rPr>
        <w:t>ITPA</w:t>
      </w:r>
    </w:p>
    <w:p w:rsidR="00BB4737" w:rsidRPr="0078270A" w:rsidRDefault="00BB4737" w:rsidP="00BB4737">
      <w:pPr>
        <w:suppressAutoHyphens/>
        <w:rPr>
          <w:rFonts w:ascii="Times New Roman" w:hAnsi="Times New Roman"/>
          <w:szCs w:val="24"/>
          <w:lang w:val="en-GB"/>
        </w:rPr>
      </w:pPr>
    </w:p>
    <w:p w:rsidR="00BB4737" w:rsidRDefault="00BB4737" w:rsidP="00BB4737">
      <w:pPr>
        <w:suppressAutoHyphens/>
        <w:jc w:val="center"/>
        <w:rPr>
          <w:rFonts w:ascii="Times New Roman" w:hAnsi="Times New Roman"/>
          <w:szCs w:val="24"/>
          <w:lang w:val="en-GB"/>
        </w:rPr>
      </w:pPr>
    </w:p>
    <w:p w:rsidR="00BB4737" w:rsidRDefault="00BB4737" w:rsidP="00BB4737">
      <w:pPr>
        <w:rPr>
          <w:rFonts w:ascii="Times New Roman" w:hAnsi="Times New Roman"/>
          <w:szCs w:val="24"/>
          <w:lang w:val="en-GB"/>
        </w:rPr>
      </w:pPr>
      <w:r>
        <w:rPr>
          <w:rFonts w:ascii="Times New Roman" w:hAnsi="Times New Roman"/>
          <w:szCs w:val="24"/>
          <w:lang w:val="en-GB"/>
        </w:rPr>
        <w:br w:type="page"/>
      </w:r>
    </w:p>
    <w:p w:rsidR="00BB4737" w:rsidRPr="000055ED" w:rsidRDefault="00BB4737" w:rsidP="00BB4737">
      <w:pPr>
        <w:suppressAutoHyphens/>
        <w:jc w:val="center"/>
        <w:rPr>
          <w:rFonts w:ascii="Times New Roman" w:hAnsi="Times New Roman"/>
          <w:b/>
          <w:sz w:val="28"/>
          <w:szCs w:val="28"/>
          <w:lang w:val="en-GB"/>
        </w:rPr>
      </w:pPr>
      <w:r w:rsidRPr="000055ED">
        <w:rPr>
          <w:rFonts w:ascii="Times New Roman" w:hAnsi="Times New Roman"/>
          <w:b/>
          <w:sz w:val="28"/>
          <w:szCs w:val="28"/>
          <w:lang w:val="en-GB"/>
        </w:rPr>
        <w:t>Appendix</w:t>
      </w:r>
    </w:p>
    <w:p w:rsidR="00B81E76" w:rsidRPr="00B81E76" w:rsidRDefault="00B81E76" w:rsidP="00B81E76">
      <w:pPr>
        <w:contextualSpacing/>
        <w:rPr>
          <w:rFonts w:ascii="Book Antiqua" w:hAnsi="Book Antiqua"/>
          <w:szCs w:val="24"/>
        </w:rPr>
      </w:pPr>
    </w:p>
    <w:p w:rsidR="00B81E76" w:rsidRDefault="00B81E76" w:rsidP="00B81E76">
      <w:pPr>
        <w:pStyle w:val="BlockText"/>
        <w:ind w:left="0"/>
        <w:rPr>
          <w:color w:val="595959"/>
          <w:lang w:val="fr-CA"/>
        </w:rPr>
      </w:pPr>
    </w:p>
    <w:p w:rsidR="00B81E76" w:rsidRDefault="00B81E76" w:rsidP="00B81E76">
      <w:pPr>
        <w:pStyle w:val="BlockText"/>
        <w:ind w:left="630"/>
        <w:rPr>
          <w:color w:val="595959"/>
          <w:lang w:val="fr-CA"/>
        </w:rPr>
      </w:pPr>
    </w:p>
    <w:p w:rsidR="00B81E76" w:rsidRPr="00B81E76" w:rsidRDefault="00B81E76" w:rsidP="00B81E76">
      <w:pPr>
        <w:contextualSpacing/>
        <w:rPr>
          <w:rFonts w:ascii="Book Antiqua" w:hAnsi="Book Antiqua"/>
          <w:szCs w:val="24"/>
        </w:rPr>
      </w:pPr>
    </w:p>
    <w:p w:rsidR="00B81E76" w:rsidRPr="00B81E76" w:rsidRDefault="00B81E76" w:rsidP="00B81E76">
      <w:pPr>
        <w:contextualSpacing/>
        <w:rPr>
          <w:rFonts w:ascii="Book Antiqua" w:hAnsi="Book Antiqua"/>
          <w:szCs w:val="24"/>
        </w:rPr>
      </w:pPr>
    </w:p>
    <w:p w:rsidR="00B81E76" w:rsidRPr="00B81E76" w:rsidRDefault="00B81E76" w:rsidP="00B81E76">
      <w:pPr>
        <w:contextualSpacing/>
        <w:rPr>
          <w:rFonts w:ascii="Book Antiqua" w:hAnsi="Book Antiqua"/>
          <w:szCs w:val="24"/>
        </w:rPr>
      </w:pPr>
      <w:r w:rsidRPr="00B81E76">
        <w:rPr>
          <w:rFonts w:ascii="Book Antiqua" w:hAnsi="Book Antiqua"/>
          <w:szCs w:val="24"/>
        </w:rPr>
        <w:t> </w:t>
      </w:r>
    </w:p>
    <w:p w:rsidR="00B81E76" w:rsidRPr="00B81E76" w:rsidRDefault="00B81E76" w:rsidP="00B81E76">
      <w:pPr>
        <w:contextualSpacing/>
        <w:jc w:val="center"/>
        <w:rPr>
          <w:rFonts w:ascii="Book Antiqua" w:hAnsi="Book Antiqua"/>
          <w:b/>
          <w:szCs w:val="24"/>
        </w:rPr>
      </w:pPr>
      <w:r w:rsidRPr="00B81E76">
        <w:rPr>
          <w:rFonts w:ascii="Book Antiqua" w:hAnsi="Book Antiqua"/>
          <w:b/>
          <w:szCs w:val="24"/>
        </w:rPr>
        <w:t xml:space="preserve">CCSA Member Companies with Systems in </w:t>
      </w:r>
      <w:r w:rsidR="0067152E">
        <w:rPr>
          <w:rFonts w:ascii="Book Antiqua" w:hAnsi="Book Antiqua"/>
          <w:b/>
          <w:szCs w:val="24"/>
        </w:rPr>
        <w:t>Ontario</w:t>
      </w:r>
    </w:p>
    <w:p w:rsidR="00B81E76" w:rsidRDefault="00B81E76" w:rsidP="00B81E76">
      <w:pPr>
        <w:contextualSpacing/>
        <w:rPr>
          <w:rFonts w:ascii="Book Antiqua" w:hAnsi="Book Antiqua"/>
          <w:szCs w:val="24"/>
        </w:rPr>
      </w:pP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Astrocom</w:t>
      </w:r>
      <w:proofErr w:type="spellEnd"/>
      <w:r w:rsidRPr="0067152E">
        <w:rPr>
          <w:rFonts w:ascii="Book Antiqua" w:hAnsi="Book Antiqua"/>
          <w:szCs w:val="24"/>
        </w:rPr>
        <w:t xml:space="preserve"> Cablevision Inc.</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Beanfield</w:t>
      </w:r>
      <w:proofErr w:type="spellEnd"/>
      <w:r w:rsidRPr="0067152E">
        <w:rPr>
          <w:rFonts w:ascii="Book Antiqua" w:hAnsi="Book Antiqua"/>
          <w:szCs w:val="24"/>
        </w:rPr>
        <w:t xml:space="preserve"> Technologies Inc.</w:t>
      </w:r>
    </w:p>
    <w:p w:rsidR="0067152E" w:rsidRPr="0067152E" w:rsidRDefault="0067152E" w:rsidP="0067152E">
      <w:pPr>
        <w:contextualSpacing/>
        <w:rPr>
          <w:rFonts w:ascii="Book Antiqua" w:hAnsi="Book Antiqua"/>
          <w:szCs w:val="24"/>
        </w:rPr>
      </w:pPr>
      <w:r w:rsidRPr="0067152E">
        <w:rPr>
          <w:rFonts w:ascii="Book Antiqua" w:hAnsi="Book Antiqua"/>
          <w:szCs w:val="24"/>
        </w:rPr>
        <w:t>Black Creek Cable TV Inc.</w:t>
      </w:r>
    </w:p>
    <w:p w:rsidR="0067152E" w:rsidRPr="0067152E" w:rsidRDefault="0067152E" w:rsidP="0067152E">
      <w:pPr>
        <w:contextualSpacing/>
        <w:rPr>
          <w:rFonts w:ascii="Book Antiqua" w:hAnsi="Book Antiqua"/>
          <w:szCs w:val="24"/>
        </w:rPr>
      </w:pPr>
      <w:r w:rsidRPr="0067152E">
        <w:rPr>
          <w:rFonts w:ascii="Book Antiqua" w:hAnsi="Book Antiqua"/>
          <w:szCs w:val="24"/>
        </w:rPr>
        <w:t>Bragg Communications Inc.</w:t>
      </w:r>
    </w:p>
    <w:p w:rsidR="0067152E" w:rsidRPr="0067152E" w:rsidRDefault="0067152E" w:rsidP="0067152E">
      <w:pPr>
        <w:contextualSpacing/>
        <w:rPr>
          <w:rFonts w:ascii="Book Antiqua" w:hAnsi="Book Antiqua"/>
          <w:szCs w:val="24"/>
        </w:rPr>
      </w:pPr>
      <w:r w:rsidRPr="0067152E">
        <w:rPr>
          <w:rFonts w:ascii="Book Antiqua" w:hAnsi="Book Antiqua"/>
          <w:szCs w:val="24"/>
        </w:rPr>
        <w:t>Brooke Telecom Co-op Ltd.</w:t>
      </w:r>
    </w:p>
    <w:p w:rsidR="0067152E" w:rsidRPr="0067152E" w:rsidRDefault="0067152E" w:rsidP="0067152E">
      <w:pPr>
        <w:contextualSpacing/>
        <w:rPr>
          <w:rFonts w:ascii="Book Antiqua" w:hAnsi="Book Antiqua"/>
          <w:szCs w:val="24"/>
        </w:rPr>
      </w:pPr>
      <w:r w:rsidRPr="0067152E">
        <w:rPr>
          <w:rFonts w:ascii="Book Antiqua" w:hAnsi="Book Antiqua"/>
          <w:szCs w:val="24"/>
        </w:rPr>
        <w:t>Bruce Telecom</w:t>
      </w:r>
    </w:p>
    <w:p w:rsidR="0067152E" w:rsidRPr="0067152E" w:rsidRDefault="0067152E" w:rsidP="0067152E">
      <w:pPr>
        <w:contextualSpacing/>
        <w:rPr>
          <w:rFonts w:ascii="Book Antiqua" w:hAnsi="Book Antiqua"/>
          <w:szCs w:val="24"/>
        </w:rPr>
      </w:pPr>
      <w:r w:rsidRPr="0067152E">
        <w:rPr>
          <w:rFonts w:ascii="Book Antiqua" w:hAnsi="Book Antiqua"/>
          <w:szCs w:val="24"/>
        </w:rPr>
        <w:t xml:space="preserve">Cable </w:t>
      </w:r>
      <w:proofErr w:type="spellStart"/>
      <w:r w:rsidRPr="0067152E">
        <w:rPr>
          <w:rFonts w:ascii="Book Antiqua" w:hAnsi="Book Antiqua"/>
          <w:szCs w:val="24"/>
        </w:rPr>
        <w:t>Cable</w:t>
      </w:r>
      <w:proofErr w:type="spellEnd"/>
      <w:r w:rsidRPr="0067152E">
        <w:rPr>
          <w:rFonts w:ascii="Book Antiqua" w:hAnsi="Book Antiqua"/>
          <w:szCs w:val="24"/>
        </w:rPr>
        <w:t xml:space="preserve"> Inc.</w:t>
      </w:r>
    </w:p>
    <w:p w:rsidR="0067152E" w:rsidRPr="0067152E" w:rsidRDefault="0067152E" w:rsidP="0067152E">
      <w:pPr>
        <w:contextualSpacing/>
        <w:rPr>
          <w:rFonts w:ascii="Book Antiqua" w:hAnsi="Book Antiqua"/>
          <w:szCs w:val="24"/>
        </w:rPr>
      </w:pPr>
      <w:r w:rsidRPr="0067152E">
        <w:rPr>
          <w:rFonts w:ascii="Book Antiqua" w:hAnsi="Book Antiqua"/>
          <w:szCs w:val="24"/>
        </w:rPr>
        <w:t>Cochrane Telecom Services</w:t>
      </w:r>
    </w:p>
    <w:p w:rsidR="0067152E" w:rsidRPr="0067152E" w:rsidRDefault="0067152E" w:rsidP="0067152E">
      <w:pPr>
        <w:contextualSpacing/>
        <w:rPr>
          <w:rFonts w:ascii="Book Antiqua" w:hAnsi="Book Antiqua"/>
          <w:szCs w:val="24"/>
        </w:rPr>
      </w:pPr>
      <w:r w:rsidRPr="0067152E">
        <w:rPr>
          <w:rFonts w:ascii="Book Antiqua" w:hAnsi="Book Antiqua"/>
          <w:szCs w:val="24"/>
        </w:rPr>
        <w:t>Constance Lake First Nation</w:t>
      </w:r>
    </w:p>
    <w:p w:rsidR="0067152E" w:rsidRPr="0067152E" w:rsidRDefault="0067152E" w:rsidP="0067152E">
      <w:pPr>
        <w:contextualSpacing/>
        <w:rPr>
          <w:rFonts w:ascii="Book Antiqua" w:hAnsi="Book Antiqua"/>
          <w:szCs w:val="24"/>
        </w:rPr>
      </w:pPr>
      <w:r w:rsidRPr="0067152E">
        <w:rPr>
          <w:rFonts w:ascii="Book Antiqua" w:hAnsi="Book Antiqua"/>
          <w:szCs w:val="24"/>
        </w:rPr>
        <w:t>Execulink Telecom Inc.</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Gosfield</w:t>
      </w:r>
      <w:proofErr w:type="spellEnd"/>
      <w:r w:rsidRPr="0067152E">
        <w:rPr>
          <w:rFonts w:ascii="Book Antiqua" w:hAnsi="Book Antiqua"/>
          <w:szCs w:val="24"/>
        </w:rPr>
        <w:t xml:space="preserve"> North Communications</w:t>
      </w:r>
    </w:p>
    <w:p w:rsidR="0067152E" w:rsidRPr="0067152E" w:rsidRDefault="0067152E" w:rsidP="0067152E">
      <w:pPr>
        <w:contextualSpacing/>
        <w:rPr>
          <w:rFonts w:ascii="Book Antiqua" w:hAnsi="Book Antiqua"/>
          <w:szCs w:val="24"/>
        </w:rPr>
      </w:pPr>
      <w:r w:rsidRPr="0067152E">
        <w:rPr>
          <w:rFonts w:ascii="Book Antiqua" w:hAnsi="Book Antiqua"/>
          <w:szCs w:val="24"/>
        </w:rPr>
        <w:t>Hastings Cable Vision Limited</w:t>
      </w:r>
    </w:p>
    <w:p w:rsidR="0067152E" w:rsidRPr="0067152E" w:rsidRDefault="0067152E" w:rsidP="0067152E">
      <w:pPr>
        <w:contextualSpacing/>
        <w:rPr>
          <w:rFonts w:ascii="Book Antiqua" w:hAnsi="Book Antiqua"/>
          <w:szCs w:val="24"/>
        </w:rPr>
      </w:pPr>
      <w:r w:rsidRPr="0067152E">
        <w:rPr>
          <w:rFonts w:ascii="Book Antiqua" w:hAnsi="Book Antiqua"/>
          <w:szCs w:val="24"/>
        </w:rPr>
        <w:t>Hay Communications Coop Ltd.</w:t>
      </w:r>
    </w:p>
    <w:p w:rsidR="0067152E" w:rsidRPr="0067152E" w:rsidRDefault="0067152E" w:rsidP="0067152E">
      <w:pPr>
        <w:contextualSpacing/>
        <w:rPr>
          <w:rFonts w:ascii="Book Antiqua" w:hAnsi="Book Antiqua"/>
          <w:szCs w:val="24"/>
        </w:rPr>
      </w:pPr>
      <w:r w:rsidRPr="0067152E">
        <w:rPr>
          <w:rFonts w:ascii="Book Antiqua" w:hAnsi="Book Antiqua"/>
          <w:szCs w:val="24"/>
        </w:rPr>
        <w:t>Huron Telecommunications Coop Ltd.</w:t>
      </w:r>
    </w:p>
    <w:p w:rsidR="0067152E" w:rsidRPr="0067152E" w:rsidRDefault="0067152E" w:rsidP="0067152E">
      <w:pPr>
        <w:contextualSpacing/>
        <w:rPr>
          <w:rFonts w:ascii="Book Antiqua" w:hAnsi="Book Antiqua"/>
          <w:szCs w:val="24"/>
        </w:rPr>
      </w:pPr>
      <w:r w:rsidRPr="0067152E">
        <w:rPr>
          <w:rFonts w:ascii="Book Antiqua" w:hAnsi="Book Antiqua"/>
          <w:szCs w:val="24"/>
        </w:rPr>
        <w:t>Lansdowne Rural Telephone Company (New Member)</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Markdale</w:t>
      </w:r>
      <w:proofErr w:type="spellEnd"/>
      <w:r w:rsidRPr="0067152E">
        <w:rPr>
          <w:rFonts w:ascii="Book Antiqua" w:hAnsi="Book Antiqua"/>
          <w:szCs w:val="24"/>
        </w:rPr>
        <w:t xml:space="preserve"> Cable TV</w:t>
      </w:r>
    </w:p>
    <w:p w:rsidR="0067152E" w:rsidRPr="0067152E" w:rsidRDefault="0067152E" w:rsidP="0067152E">
      <w:pPr>
        <w:contextualSpacing/>
        <w:rPr>
          <w:rFonts w:ascii="Book Antiqua" w:hAnsi="Book Antiqua"/>
          <w:szCs w:val="24"/>
        </w:rPr>
      </w:pPr>
      <w:r w:rsidRPr="0067152E">
        <w:rPr>
          <w:rFonts w:ascii="Book Antiqua" w:hAnsi="Book Antiqua"/>
          <w:szCs w:val="24"/>
        </w:rPr>
        <w:t xml:space="preserve">Mitchell </w:t>
      </w:r>
      <w:proofErr w:type="spellStart"/>
      <w:r w:rsidRPr="0067152E">
        <w:rPr>
          <w:rFonts w:ascii="Book Antiqua" w:hAnsi="Book Antiqua"/>
          <w:szCs w:val="24"/>
        </w:rPr>
        <w:t>Seaforth</w:t>
      </w:r>
      <w:proofErr w:type="spellEnd"/>
      <w:r w:rsidRPr="0067152E">
        <w:rPr>
          <w:rFonts w:ascii="Book Antiqua" w:hAnsi="Book Antiqua"/>
          <w:szCs w:val="24"/>
        </w:rPr>
        <w:t xml:space="preserve"> Cable TV Ltd.</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Mocreebec</w:t>
      </w:r>
      <w:proofErr w:type="spellEnd"/>
      <w:r w:rsidRPr="0067152E">
        <w:rPr>
          <w:rFonts w:ascii="Book Antiqua" w:hAnsi="Book Antiqua"/>
          <w:szCs w:val="24"/>
        </w:rPr>
        <w:t xml:space="preserve"> Development Corp. Ltd.</w:t>
      </w:r>
    </w:p>
    <w:p w:rsidR="0067152E" w:rsidRPr="0067152E" w:rsidRDefault="0067152E" w:rsidP="0067152E">
      <w:pPr>
        <w:contextualSpacing/>
        <w:rPr>
          <w:rFonts w:ascii="Book Antiqua" w:hAnsi="Book Antiqua"/>
          <w:szCs w:val="24"/>
        </w:rPr>
      </w:pPr>
      <w:r w:rsidRPr="0067152E">
        <w:rPr>
          <w:rFonts w:ascii="Book Antiqua" w:hAnsi="Book Antiqua"/>
          <w:szCs w:val="24"/>
        </w:rPr>
        <w:t>Moose Factory Cable Inc.</w:t>
      </w:r>
    </w:p>
    <w:p w:rsidR="0067152E" w:rsidRPr="0067152E" w:rsidRDefault="0067152E" w:rsidP="0067152E">
      <w:pPr>
        <w:contextualSpacing/>
        <w:rPr>
          <w:rFonts w:ascii="Book Antiqua" w:hAnsi="Book Antiqua"/>
          <w:szCs w:val="24"/>
        </w:rPr>
      </w:pPr>
      <w:r w:rsidRPr="0067152E">
        <w:rPr>
          <w:rFonts w:ascii="Book Antiqua" w:hAnsi="Book Antiqua"/>
          <w:szCs w:val="24"/>
        </w:rPr>
        <w:t>Mornington Communications Coop Ltd.</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Nexicom</w:t>
      </w:r>
      <w:proofErr w:type="spellEnd"/>
      <w:r w:rsidRPr="0067152E">
        <w:rPr>
          <w:rFonts w:ascii="Book Antiqua" w:hAnsi="Book Antiqua"/>
          <w:szCs w:val="24"/>
        </w:rPr>
        <w:t xml:space="preserve"> Communications Inc.</w:t>
      </w:r>
    </w:p>
    <w:p w:rsidR="0067152E" w:rsidRPr="0067152E" w:rsidRDefault="0067152E" w:rsidP="0067152E">
      <w:pPr>
        <w:contextualSpacing/>
        <w:rPr>
          <w:rFonts w:ascii="Book Antiqua" w:hAnsi="Book Antiqua"/>
          <w:szCs w:val="24"/>
        </w:rPr>
      </w:pPr>
      <w:r w:rsidRPr="0067152E">
        <w:rPr>
          <w:rFonts w:ascii="Book Antiqua" w:hAnsi="Book Antiqua"/>
          <w:szCs w:val="24"/>
        </w:rPr>
        <w:t>Nor-Del Cablevision Ltd.</w:t>
      </w:r>
    </w:p>
    <w:p w:rsidR="0067152E" w:rsidRPr="0067152E" w:rsidRDefault="0067152E" w:rsidP="0067152E">
      <w:pPr>
        <w:contextualSpacing/>
        <w:rPr>
          <w:rFonts w:ascii="Book Antiqua" w:hAnsi="Book Antiqua"/>
          <w:szCs w:val="24"/>
        </w:rPr>
      </w:pPr>
      <w:r w:rsidRPr="0067152E">
        <w:rPr>
          <w:rFonts w:ascii="Book Antiqua" w:hAnsi="Book Antiqua"/>
          <w:szCs w:val="24"/>
        </w:rPr>
        <w:t>North Frontenac Telephone Corporation Ltd.</w:t>
      </w:r>
    </w:p>
    <w:p w:rsidR="0067152E" w:rsidRPr="0067152E" w:rsidRDefault="0067152E" w:rsidP="0067152E">
      <w:pPr>
        <w:contextualSpacing/>
        <w:rPr>
          <w:rFonts w:ascii="Book Antiqua" w:hAnsi="Book Antiqua"/>
          <w:szCs w:val="24"/>
        </w:rPr>
      </w:pPr>
      <w:r w:rsidRPr="0067152E">
        <w:rPr>
          <w:rFonts w:ascii="Book Antiqua" w:hAnsi="Book Antiqua"/>
          <w:szCs w:val="24"/>
        </w:rPr>
        <w:t>NRTC Communications</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Tbaytel</w:t>
      </w:r>
      <w:proofErr w:type="spellEnd"/>
    </w:p>
    <w:p w:rsidR="0067152E" w:rsidRPr="0067152E" w:rsidRDefault="0067152E" w:rsidP="0067152E">
      <w:pPr>
        <w:contextualSpacing/>
        <w:rPr>
          <w:rFonts w:ascii="Book Antiqua" w:hAnsi="Book Antiqua"/>
          <w:szCs w:val="24"/>
        </w:rPr>
      </w:pPr>
      <w:r w:rsidRPr="0067152E">
        <w:rPr>
          <w:rFonts w:ascii="Book Antiqua" w:hAnsi="Book Antiqua"/>
          <w:szCs w:val="24"/>
        </w:rPr>
        <w:t>Total Cable Service</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Tuckersmith</w:t>
      </w:r>
      <w:proofErr w:type="spellEnd"/>
      <w:r w:rsidRPr="0067152E">
        <w:rPr>
          <w:rFonts w:ascii="Book Antiqua" w:hAnsi="Book Antiqua"/>
          <w:szCs w:val="24"/>
        </w:rPr>
        <w:t xml:space="preserve"> Communications Coop Ltd.</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VMedia</w:t>
      </w:r>
      <w:proofErr w:type="spellEnd"/>
      <w:r w:rsidRPr="0067152E">
        <w:rPr>
          <w:rFonts w:ascii="Book Antiqua" w:hAnsi="Book Antiqua"/>
          <w:szCs w:val="24"/>
        </w:rPr>
        <w:t xml:space="preserve"> </w:t>
      </w:r>
    </w:p>
    <w:p w:rsidR="0067152E" w:rsidRPr="0067152E" w:rsidRDefault="0067152E" w:rsidP="0067152E">
      <w:pPr>
        <w:contextualSpacing/>
        <w:rPr>
          <w:rFonts w:ascii="Book Antiqua" w:hAnsi="Book Antiqua"/>
          <w:szCs w:val="24"/>
        </w:rPr>
      </w:pPr>
      <w:r w:rsidRPr="0067152E">
        <w:rPr>
          <w:rFonts w:ascii="Book Antiqua" w:hAnsi="Book Antiqua"/>
          <w:szCs w:val="24"/>
        </w:rPr>
        <w:t>Wightman Communications Ltd.</w:t>
      </w:r>
    </w:p>
    <w:p w:rsidR="00236F92" w:rsidRDefault="0067152E" w:rsidP="0067152E">
      <w:pPr>
        <w:contextualSpacing/>
        <w:rPr>
          <w:color w:val="595959"/>
          <w:lang w:val="fr-CA"/>
        </w:rPr>
      </w:pPr>
      <w:r w:rsidRPr="0067152E">
        <w:rPr>
          <w:rFonts w:ascii="Book Antiqua" w:hAnsi="Book Antiqua"/>
          <w:szCs w:val="24"/>
        </w:rPr>
        <w:t>WTC Communications</w:t>
      </w:r>
      <w:r w:rsidR="00B81E76">
        <w:rPr>
          <w:color w:val="595959"/>
          <w:lang w:val="fr-CA"/>
        </w:rPr>
        <w:t xml:space="preserve"> </w:t>
      </w:r>
    </w:p>
    <w:p w:rsidR="00236F92" w:rsidRPr="00D97F39" w:rsidRDefault="00236F92">
      <w:pPr>
        <w:pStyle w:val="BlockText"/>
        <w:ind w:left="630"/>
        <w:rPr>
          <w:color w:val="595959"/>
          <w:lang w:val="fr-CA"/>
        </w:rPr>
      </w:pPr>
    </w:p>
    <w:sectPr w:rsidR="00236F92" w:rsidRPr="00D97F39" w:rsidSect="00FD65B3">
      <w:headerReference w:type="default" r:id="rId9"/>
      <w:pgSz w:w="12240" w:h="15840"/>
      <w:pgMar w:top="2268" w:right="1440" w:bottom="1440" w:left="1440" w:header="81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1D" w:rsidRDefault="00224D1D">
      <w:r>
        <w:separator/>
      </w:r>
    </w:p>
  </w:endnote>
  <w:endnote w:type="continuationSeparator" w:id="0">
    <w:p w:rsidR="00224D1D" w:rsidRDefault="0022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1D" w:rsidRDefault="00224D1D">
      <w:r>
        <w:separator/>
      </w:r>
    </w:p>
  </w:footnote>
  <w:footnote w:type="continuationSeparator" w:id="0">
    <w:p w:rsidR="00224D1D" w:rsidRDefault="0022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1F" w:rsidRDefault="00236F92">
    <w:pPr>
      <w:pStyle w:val="Header"/>
      <w:tabs>
        <w:tab w:val="clear" w:pos="4320"/>
        <w:tab w:val="clear" w:pos="8640"/>
      </w:tabs>
    </w:pPr>
    <w:r>
      <w:rPr>
        <w:rFonts w:ascii="Lucida" w:hAnsi="Lucida"/>
        <w:noProof/>
        <w:color w:val="365F91"/>
        <w:lang w:val="en-CA" w:eastAsia="en-CA"/>
      </w:rPr>
      <mc:AlternateContent>
        <mc:Choice Requires="wps">
          <w:drawing>
            <wp:anchor distT="0" distB="0" distL="114300" distR="114300" simplePos="0" relativeHeight="251659776" behindDoc="0" locked="0" layoutInCell="1" allowOverlap="1" wp14:anchorId="79491698" wp14:editId="03F4BB16">
              <wp:simplePos x="0" y="0"/>
              <wp:positionH relativeFrom="column">
                <wp:posOffset>6421755</wp:posOffset>
              </wp:positionH>
              <wp:positionV relativeFrom="paragraph">
                <wp:posOffset>212090</wp:posOffset>
              </wp:positionV>
              <wp:extent cx="571500" cy="2971800"/>
              <wp:effectExtent l="0" t="0" r="0" b="0"/>
              <wp:wrapTight wrapText="bothSides">
                <wp:wrapPolygon edited="0">
                  <wp:start x="0" y="0"/>
                  <wp:lineTo x="21600" y="0"/>
                  <wp:lineTo x="21600" y="21600"/>
                  <wp:lineTo x="0" y="2160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F92" w:rsidRPr="00D97F39" w:rsidRDefault="00236F92" w:rsidP="00236F92">
                          <w:pPr>
                            <w:rPr>
                              <w:rFonts w:ascii="Lucida Grande" w:hAnsi="Lucida Grande" w:cs="Lucida Grande"/>
                              <w:b/>
                              <w:bCs/>
                              <w:color w:val="B09F81"/>
                              <w:sz w:val="52"/>
                              <w:szCs w:val="52"/>
                            </w:rPr>
                          </w:pPr>
                          <w:r w:rsidRPr="00D97F39">
                            <w:rPr>
                              <w:rFonts w:ascii="Lucida Grande" w:hAnsi="Lucida Grande" w:cs="Lucida Grande"/>
                              <w:b/>
                              <w:bCs/>
                              <w:color w:val="B09F81"/>
                              <w:sz w:val="52"/>
                              <w:szCs w:val="52"/>
                            </w:rPr>
                            <w:t>Regulatory</w:t>
                          </w: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5.65pt;margin-top:16.7pt;width:4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" filled="f" stroked="f">
              <v:textbox style="layout-flow:vertical" inset=",7.2pt,,7.2pt">
                <w:txbxContent>
                  <w:p w:rsidR="00236F92" w:rsidRPr="00D97F39" w:rsidRDefault="00236F92" w:rsidP="00236F92">
                    <w:pPr>
                      <w:rPr>
                        <w:rFonts w:ascii="Lucida Grande" w:hAnsi="Lucida Grande" w:cs="Lucida Grande"/>
                        <w:b/>
                        <w:bCs/>
                        <w:color w:val="B09F81"/>
                        <w:sz w:val="52"/>
                        <w:szCs w:val="52"/>
                      </w:rPr>
                    </w:pPr>
                    <w:r w:rsidRPr="00D97F39">
                      <w:rPr>
                        <w:rFonts w:ascii="Lucida Grande" w:hAnsi="Lucida Grande" w:cs="Lucida Grande"/>
                        <w:b/>
                        <w:bCs/>
                        <w:color w:val="B09F81"/>
                        <w:sz w:val="52"/>
                        <w:szCs w:val="52"/>
                      </w:rPr>
                      <w:t>Regulatory</w:t>
                    </w:r>
                  </w:p>
                </w:txbxContent>
              </v:textbox>
              <w10:wrap type="tight"/>
            </v:shape>
          </w:pict>
        </mc:Fallback>
      </mc:AlternateContent>
    </w:r>
    <w:r w:rsidR="00D97F39">
      <w:rPr>
        <w:noProof/>
        <w:lang w:val="en-CA" w:eastAsia="en-CA"/>
      </w:rPr>
      <w:drawing>
        <wp:inline distT="0" distB="0" distL="0" distR="0">
          <wp:extent cx="5845810" cy="554990"/>
          <wp:effectExtent l="0" t="0" r="2540" b="0"/>
          <wp:docPr id="2" name="Picture 2" descr="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810"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40D"/>
    <w:multiLevelType w:val="hybridMultilevel"/>
    <w:tmpl w:val="FBA0B4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6EF1B23"/>
    <w:multiLevelType w:val="hybridMultilevel"/>
    <w:tmpl w:val="A4ACEE4C"/>
    <w:lvl w:ilvl="0" w:tplc="1009000F">
      <w:start w:val="1"/>
      <w:numFmt w:val="decimal"/>
      <w:lvlText w:val="%1."/>
      <w:lvlJc w:val="left"/>
      <w:pPr>
        <w:ind w:left="360" w:hanging="360"/>
      </w:pPr>
    </w:lvl>
    <w:lvl w:ilvl="1" w:tplc="78A27AF4">
      <w:start w:val="1"/>
      <w:numFmt w:val="bullet"/>
      <w:lvlText w:val=""/>
      <w:lvlJc w:val="left"/>
      <w:pPr>
        <w:ind w:left="360" w:hanging="76"/>
      </w:pPr>
      <w:rPr>
        <w:rFonts w:ascii="Symbol" w:hAnsi="Symbol" w:hint="default"/>
      </w:rPr>
    </w:lvl>
    <w:lvl w:ilvl="2" w:tplc="5A3AE3E0">
      <w:start w:val="1"/>
      <w:numFmt w:val="lowerRoman"/>
      <w:lvlText w:val="%3."/>
      <w:lvlJc w:val="left"/>
      <w:pPr>
        <w:ind w:left="2552" w:hanging="1985"/>
      </w:pPr>
      <w:rPr>
        <w:rFonts w:hint="default"/>
      </w:r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6BE454BB"/>
    <w:multiLevelType w:val="hybridMultilevel"/>
    <w:tmpl w:val="81F87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39"/>
    <w:rsid w:val="00215EA9"/>
    <w:rsid w:val="00224D1D"/>
    <w:rsid w:val="00236F92"/>
    <w:rsid w:val="002B3543"/>
    <w:rsid w:val="0055771B"/>
    <w:rsid w:val="0067152E"/>
    <w:rsid w:val="00913B1F"/>
    <w:rsid w:val="00A563D9"/>
    <w:rsid w:val="00B81E76"/>
    <w:rsid w:val="00BB4737"/>
    <w:rsid w:val="00BF0364"/>
    <w:rsid w:val="00D97F39"/>
    <w:rsid w:val="00E249D5"/>
    <w:rsid w:val="00EA33BF"/>
    <w:rsid w:val="00F64CA9"/>
    <w:rsid w:val="00FD65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rFonts w:ascii="Lucida" w:hAnsi="Lucida"/>
      <w:sz w:val="18"/>
    </w:rPr>
  </w:style>
  <w:style w:type="paragraph" w:styleId="BlockText">
    <w:name w:val="Block Text"/>
    <w:basedOn w:val="Normal"/>
    <w:pPr>
      <w:ind w:left="720" w:right="-18"/>
    </w:pPr>
    <w:rPr>
      <w:rFonts w:ascii="Lucida" w:hAnsi="Lucida"/>
      <w:sz w:val="18"/>
    </w:rPr>
  </w:style>
  <w:style w:type="character" w:customStyle="1" w:styleId="HeaderChar">
    <w:name w:val="Header Char"/>
    <w:basedOn w:val="DefaultParagraphFont"/>
    <w:link w:val="Header"/>
    <w:uiPriority w:val="99"/>
    <w:rsid w:val="00FD65B3"/>
    <w:rPr>
      <w:sz w:val="24"/>
      <w:lang w:val="en-US" w:eastAsia="en-US"/>
    </w:rPr>
  </w:style>
  <w:style w:type="paragraph" w:styleId="BalloonText">
    <w:name w:val="Balloon Text"/>
    <w:basedOn w:val="Normal"/>
    <w:link w:val="BalloonTextChar"/>
    <w:rsid w:val="00FD65B3"/>
    <w:rPr>
      <w:rFonts w:ascii="Tahoma" w:hAnsi="Tahoma" w:cs="Tahoma"/>
      <w:sz w:val="16"/>
      <w:szCs w:val="16"/>
    </w:rPr>
  </w:style>
  <w:style w:type="character" w:customStyle="1" w:styleId="BalloonTextChar">
    <w:name w:val="Balloon Text Char"/>
    <w:basedOn w:val="DefaultParagraphFont"/>
    <w:link w:val="BalloonText"/>
    <w:rsid w:val="00FD65B3"/>
    <w:rPr>
      <w:rFonts w:ascii="Tahoma" w:hAnsi="Tahoma" w:cs="Tahoma"/>
      <w:sz w:val="16"/>
      <w:szCs w:val="16"/>
      <w:lang w:val="en-US" w:eastAsia="en-US"/>
    </w:rPr>
  </w:style>
  <w:style w:type="paragraph" w:styleId="ListParagraph">
    <w:name w:val="List Paragraph"/>
    <w:basedOn w:val="Normal"/>
    <w:uiPriority w:val="72"/>
    <w:qFormat/>
    <w:rsid w:val="00B81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rFonts w:ascii="Lucida" w:hAnsi="Lucida"/>
      <w:sz w:val="18"/>
    </w:rPr>
  </w:style>
  <w:style w:type="paragraph" w:styleId="BlockText">
    <w:name w:val="Block Text"/>
    <w:basedOn w:val="Normal"/>
    <w:pPr>
      <w:ind w:left="720" w:right="-18"/>
    </w:pPr>
    <w:rPr>
      <w:rFonts w:ascii="Lucida" w:hAnsi="Lucida"/>
      <w:sz w:val="18"/>
    </w:rPr>
  </w:style>
  <w:style w:type="character" w:customStyle="1" w:styleId="HeaderChar">
    <w:name w:val="Header Char"/>
    <w:basedOn w:val="DefaultParagraphFont"/>
    <w:link w:val="Header"/>
    <w:uiPriority w:val="99"/>
    <w:rsid w:val="00FD65B3"/>
    <w:rPr>
      <w:sz w:val="24"/>
      <w:lang w:val="en-US" w:eastAsia="en-US"/>
    </w:rPr>
  </w:style>
  <w:style w:type="paragraph" w:styleId="BalloonText">
    <w:name w:val="Balloon Text"/>
    <w:basedOn w:val="Normal"/>
    <w:link w:val="BalloonTextChar"/>
    <w:rsid w:val="00FD65B3"/>
    <w:rPr>
      <w:rFonts w:ascii="Tahoma" w:hAnsi="Tahoma" w:cs="Tahoma"/>
      <w:sz w:val="16"/>
      <w:szCs w:val="16"/>
    </w:rPr>
  </w:style>
  <w:style w:type="character" w:customStyle="1" w:styleId="BalloonTextChar">
    <w:name w:val="Balloon Text Char"/>
    <w:basedOn w:val="DefaultParagraphFont"/>
    <w:link w:val="BalloonText"/>
    <w:rsid w:val="00FD65B3"/>
    <w:rPr>
      <w:rFonts w:ascii="Tahoma" w:hAnsi="Tahoma" w:cs="Tahoma"/>
      <w:sz w:val="16"/>
      <w:szCs w:val="16"/>
      <w:lang w:val="en-US" w:eastAsia="en-US"/>
    </w:rPr>
  </w:style>
  <w:style w:type="paragraph" w:styleId="ListParagraph">
    <w:name w:val="List Paragraph"/>
    <w:basedOn w:val="Normal"/>
    <w:uiPriority w:val="72"/>
    <w:qFormat/>
    <w:rsid w:val="00B8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Local\Microsoft\Windows\Temporary%20Internet%20Files\Content.Outlook\F3VXG852\CCSA-%20Regulatory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CCSA- Regulatory2.dot</Template>
  <TotalTime>2</TotalTime>
  <Pages>5</Pages>
  <Words>798</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Font Lucida Sans 12 point</vt:lpstr>
    </vt:vector>
  </TitlesOfParts>
  <Company>iMagicTV</Company>
  <LinksUpToDate>false</LinksUpToDate>
  <CharactersWithSpaces>5235</CharactersWithSpaces>
  <SharedDoc>false</SharedDoc>
  <HLinks>
    <vt:vector size="6" baseType="variant">
      <vt:variant>
        <vt:i4>7471200</vt:i4>
      </vt:variant>
      <vt:variant>
        <vt:i4>-1</vt:i4>
      </vt:variant>
      <vt:variant>
        <vt:i4>2050</vt:i4>
      </vt:variant>
      <vt:variant>
        <vt:i4>1</vt:i4>
      </vt:variant>
      <vt:variant>
        <vt:lpwstr>adress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Font Lucida Sans 12 point</dc:title>
  <dc:creator>Beth</dc:creator>
  <cp:lastModifiedBy>Chris Edwards</cp:lastModifiedBy>
  <cp:revision>3</cp:revision>
  <dcterms:created xsi:type="dcterms:W3CDTF">2015-04-22T14:08:00Z</dcterms:created>
  <dcterms:modified xsi:type="dcterms:W3CDTF">2015-04-23T13:19:00Z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