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21" w:rsidRDefault="003C6021" w:rsidP="003C6021">
      <w:pPr>
        <w:autoSpaceDE w:val="0"/>
        <w:autoSpaceDN w:val="0"/>
        <w:adjustRightInd w:val="0"/>
        <w:spacing w:before="11"/>
        <w:ind w:left="100" w:right="-20"/>
        <w:rPr>
          <w:rFonts w:eastAsiaTheme="minorHAnsi"/>
          <w:lang w:val="en-CA"/>
        </w:rPr>
      </w:pPr>
      <w:bookmarkStart w:id="0" w:name="_GoBack"/>
      <w:bookmarkEnd w:id="0"/>
      <w:r>
        <w:rPr>
          <w:rFonts w:eastAsiaTheme="minorHAnsi"/>
          <w:noProof/>
          <w:sz w:val="24"/>
          <w:szCs w:val="24"/>
          <w:lang w:val="en-CA" w:eastAsia="en-CA"/>
        </w:rPr>
        <w:drawing>
          <wp:inline distT="0" distB="0" distL="0" distR="0">
            <wp:extent cx="1362710" cy="7416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710" cy="741680"/>
                    </a:xfrm>
                    <a:prstGeom prst="rect">
                      <a:avLst/>
                    </a:prstGeom>
                    <a:noFill/>
                    <a:ln>
                      <a:noFill/>
                    </a:ln>
                  </pic:spPr>
                </pic:pic>
              </a:graphicData>
            </a:graphic>
          </wp:inline>
        </w:drawing>
      </w:r>
    </w:p>
    <w:p w:rsidR="003C6021" w:rsidRDefault="003C6021" w:rsidP="003C6021">
      <w:pPr>
        <w:autoSpaceDE w:val="0"/>
        <w:autoSpaceDN w:val="0"/>
        <w:adjustRightInd w:val="0"/>
        <w:spacing w:before="64"/>
        <w:ind w:left="88" w:right="-20"/>
        <w:rPr>
          <w:rFonts w:ascii="Arial" w:eastAsiaTheme="minorHAnsi" w:hAnsi="Arial" w:cs="Arial"/>
          <w:spacing w:val="-1"/>
          <w:sz w:val="22"/>
          <w:szCs w:val="22"/>
          <w:lang w:val="en-CA"/>
        </w:rPr>
      </w:pPr>
    </w:p>
    <w:p w:rsidR="003C6021" w:rsidRDefault="003C6021" w:rsidP="003C6021">
      <w:pPr>
        <w:autoSpaceDE w:val="0"/>
        <w:autoSpaceDN w:val="0"/>
        <w:adjustRightInd w:val="0"/>
        <w:spacing w:before="64"/>
        <w:ind w:left="88" w:right="-20"/>
        <w:rPr>
          <w:rFonts w:ascii="Arial" w:eastAsiaTheme="minorHAnsi" w:hAnsi="Arial" w:cs="Arial"/>
          <w:sz w:val="22"/>
          <w:szCs w:val="22"/>
          <w:lang w:val="en-CA"/>
        </w:rPr>
      </w:pPr>
      <w:proofErr w:type="gramStart"/>
      <w:r>
        <w:rPr>
          <w:rFonts w:ascii="Arial" w:eastAsiaTheme="minorHAnsi" w:hAnsi="Arial" w:cs="Arial"/>
          <w:spacing w:val="-1"/>
          <w:sz w:val="22"/>
          <w:szCs w:val="22"/>
          <w:lang w:val="en-CA"/>
        </w:rPr>
        <w:t>N</w:t>
      </w:r>
      <w:r>
        <w:rPr>
          <w:rFonts w:ascii="Arial" w:eastAsiaTheme="minorHAnsi" w:hAnsi="Arial" w:cs="Arial"/>
          <w:sz w:val="22"/>
          <w:szCs w:val="22"/>
          <w:lang w:val="en-CA"/>
        </w:rPr>
        <w:t>or</w:t>
      </w:r>
      <w:r>
        <w:rPr>
          <w:rFonts w:ascii="Arial" w:eastAsiaTheme="minorHAnsi" w:hAnsi="Arial" w:cs="Arial"/>
          <w:spacing w:val="1"/>
          <w:sz w:val="22"/>
          <w:szCs w:val="22"/>
          <w:lang w:val="en-CA"/>
        </w:rPr>
        <w:t>t</w:t>
      </w:r>
      <w:r>
        <w:rPr>
          <w:rFonts w:ascii="Arial" w:eastAsiaTheme="minorHAnsi" w:hAnsi="Arial" w:cs="Arial"/>
          <w:sz w:val="22"/>
          <w:szCs w:val="22"/>
          <w:lang w:val="en-CA"/>
        </w:rPr>
        <w:t>h</w:t>
      </w:r>
      <w:r>
        <w:rPr>
          <w:rFonts w:ascii="Arial" w:eastAsiaTheme="minorHAnsi" w:hAnsi="Arial" w:cs="Arial"/>
          <w:spacing w:val="-1"/>
          <w:sz w:val="22"/>
          <w:szCs w:val="22"/>
          <w:lang w:val="en-CA"/>
        </w:rPr>
        <w:t>e</w:t>
      </w:r>
      <w:r>
        <w:rPr>
          <w:rFonts w:ascii="Arial" w:eastAsiaTheme="minorHAnsi" w:hAnsi="Arial" w:cs="Arial"/>
          <w:spacing w:val="1"/>
          <w:sz w:val="22"/>
          <w:szCs w:val="22"/>
          <w:lang w:val="en-CA"/>
        </w:rPr>
        <w:t>r</w:t>
      </w:r>
      <w:r>
        <w:rPr>
          <w:rFonts w:ascii="Arial" w:eastAsiaTheme="minorHAnsi" w:hAnsi="Arial" w:cs="Arial"/>
          <w:sz w:val="22"/>
          <w:szCs w:val="22"/>
          <w:lang w:val="en-CA"/>
        </w:rPr>
        <w:t>n</w:t>
      </w:r>
      <w:r>
        <w:rPr>
          <w:rFonts w:ascii="Arial" w:eastAsiaTheme="minorHAnsi" w:hAnsi="Arial" w:cs="Arial"/>
          <w:spacing w:val="-4"/>
          <w:sz w:val="22"/>
          <w:szCs w:val="22"/>
          <w:lang w:val="en-CA"/>
        </w:rPr>
        <w:t xml:space="preserve"> </w:t>
      </w:r>
      <w:r>
        <w:rPr>
          <w:rFonts w:ascii="Arial" w:eastAsiaTheme="minorHAnsi" w:hAnsi="Arial" w:cs="Arial"/>
          <w:spacing w:val="1"/>
          <w:sz w:val="22"/>
          <w:szCs w:val="22"/>
          <w:lang w:val="en-CA"/>
        </w:rPr>
        <w:t>O</w:t>
      </w:r>
      <w:r>
        <w:rPr>
          <w:rFonts w:ascii="Arial" w:eastAsiaTheme="minorHAnsi" w:hAnsi="Arial" w:cs="Arial"/>
          <w:sz w:val="22"/>
          <w:szCs w:val="22"/>
          <w:lang w:val="en-CA"/>
        </w:rPr>
        <w:t>nt</w:t>
      </w:r>
      <w:r>
        <w:rPr>
          <w:rFonts w:ascii="Arial" w:eastAsiaTheme="minorHAnsi" w:hAnsi="Arial" w:cs="Arial"/>
          <w:spacing w:val="-2"/>
          <w:sz w:val="22"/>
          <w:szCs w:val="22"/>
          <w:lang w:val="en-CA"/>
        </w:rPr>
        <w:t>a</w:t>
      </w:r>
      <w:r>
        <w:rPr>
          <w:rFonts w:ascii="Arial" w:eastAsiaTheme="minorHAnsi" w:hAnsi="Arial" w:cs="Arial"/>
          <w:spacing w:val="1"/>
          <w:sz w:val="22"/>
          <w:szCs w:val="22"/>
          <w:lang w:val="en-CA"/>
        </w:rPr>
        <w:t>r</w:t>
      </w:r>
      <w:r>
        <w:rPr>
          <w:rFonts w:ascii="Arial" w:eastAsiaTheme="minorHAnsi" w:hAnsi="Arial" w:cs="Arial"/>
          <w:spacing w:val="-1"/>
          <w:sz w:val="22"/>
          <w:szCs w:val="22"/>
          <w:lang w:val="en-CA"/>
        </w:rPr>
        <w:t>i</w:t>
      </w:r>
      <w:r>
        <w:rPr>
          <w:rFonts w:ascii="Arial" w:eastAsiaTheme="minorHAnsi" w:hAnsi="Arial" w:cs="Arial"/>
          <w:sz w:val="22"/>
          <w:szCs w:val="22"/>
          <w:lang w:val="en-CA"/>
        </w:rPr>
        <w:t>o</w:t>
      </w:r>
      <w:r>
        <w:rPr>
          <w:rFonts w:ascii="Arial" w:eastAsiaTheme="minorHAnsi" w:hAnsi="Arial" w:cs="Arial"/>
          <w:spacing w:val="-4"/>
          <w:sz w:val="22"/>
          <w:szCs w:val="22"/>
          <w:lang w:val="en-CA"/>
        </w:rPr>
        <w:t xml:space="preserve"> </w:t>
      </w:r>
      <w:r>
        <w:rPr>
          <w:rFonts w:ascii="Arial" w:eastAsiaTheme="minorHAnsi" w:hAnsi="Arial" w:cs="Arial"/>
          <w:spacing w:val="7"/>
          <w:sz w:val="22"/>
          <w:szCs w:val="22"/>
          <w:lang w:val="en-CA"/>
        </w:rPr>
        <w:t>W</w:t>
      </w:r>
      <w:r>
        <w:rPr>
          <w:rFonts w:ascii="Arial" w:eastAsiaTheme="minorHAnsi" w:hAnsi="Arial" w:cs="Arial"/>
          <w:spacing w:val="-3"/>
          <w:sz w:val="22"/>
          <w:szCs w:val="22"/>
          <w:lang w:val="en-CA"/>
        </w:rPr>
        <w:t>i</w:t>
      </w:r>
      <w:r>
        <w:rPr>
          <w:rFonts w:ascii="Arial" w:eastAsiaTheme="minorHAnsi" w:hAnsi="Arial" w:cs="Arial"/>
          <w:spacing w:val="1"/>
          <w:sz w:val="22"/>
          <w:szCs w:val="22"/>
          <w:lang w:val="en-CA"/>
        </w:rPr>
        <w:t>r</w:t>
      </w:r>
      <w:r>
        <w:rPr>
          <w:rFonts w:ascii="Arial" w:eastAsiaTheme="minorHAnsi" w:hAnsi="Arial" w:cs="Arial"/>
          <w:spacing w:val="-3"/>
          <w:sz w:val="22"/>
          <w:szCs w:val="22"/>
          <w:lang w:val="en-CA"/>
        </w:rPr>
        <w:t>e</w:t>
      </w:r>
      <w:r>
        <w:rPr>
          <w:rFonts w:ascii="Arial" w:eastAsiaTheme="minorHAnsi" w:hAnsi="Arial" w:cs="Arial"/>
          <w:sz w:val="22"/>
          <w:szCs w:val="22"/>
          <w:lang w:val="en-CA"/>
        </w:rPr>
        <w:t>s</w:t>
      </w:r>
      <w:r>
        <w:rPr>
          <w:rFonts w:ascii="Arial" w:eastAsiaTheme="minorHAnsi" w:hAnsi="Arial" w:cs="Arial"/>
          <w:spacing w:val="-1"/>
          <w:sz w:val="22"/>
          <w:szCs w:val="22"/>
          <w:lang w:val="en-CA"/>
        </w:rPr>
        <w:t xml:space="preserve"> I</w:t>
      </w:r>
      <w:r>
        <w:rPr>
          <w:rFonts w:ascii="Arial" w:eastAsiaTheme="minorHAnsi" w:hAnsi="Arial" w:cs="Arial"/>
          <w:sz w:val="22"/>
          <w:szCs w:val="22"/>
          <w:lang w:val="en-CA"/>
        </w:rPr>
        <w:t>nc.</w:t>
      </w:r>
      <w:proofErr w:type="gramEnd"/>
    </w:p>
    <w:p w:rsidR="003C6021" w:rsidRDefault="003C6021" w:rsidP="003C6021">
      <w:pPr>
        <w:autoSpaceDE w:val="0"/>
        <w:autoSpaceDN w:val="0"/>
        <w:adjustRightInd w:val="0"/>
        <w:spacing w:line="252" w:lineRule="exact"/>
        <w:ind w:left="88" w:right="-20"/>
        <w:rPr>
          <w:rFonts w:ascii="Arial" w:eastAsiaTheme="minorHAnsi" w:hAnsi="Arial" w:cs="Arial"/>
          <w:sz w:val="22"/>
          <w:szCs w:val="22"/>
          <w:lang w:val="en-CA"/>
        </w:rPr>
      </w:pPr>
      <w:r>
        <w:rPr>
          <w:rFonts w:ascii="Arial" w:eastAsiaTheme="minorHAnsi" w:hAnsi="Arial" w:cs="Arial"/>
          <w:sz w:val="22"/>
          <w:szCs w:val="22"/>
          <w:lang w:val="en-CA"/>
        </w:rPr>
        <w:t>1</w:t>
      </w:r>
      <w:r>
        <w:rPr>
          <w:rFonts w:ascii="Arial" w:eastAsiaTheme="minorHAnsi" w:hAnsi="Arial" w:cs="Arial"/>
          <w:spacing w:val="-1"/>
          <w:sz w:val="22"/>
          <w:szCs w:val="22"/>
          <w:lang w:val="en-CA"/>
        </w:rPr>
        <w:t>5</w:t>
      </w:r>
      <w:r>
        <w:rPr>
          <w:rFonts w:ascii="Arial" w:eastAsiaTheme="minorHAnsi" w:hAnsi="Arial" w:cs="Arial"/>
          <w:sz w:val="22"/>
          <w:szCs w:val="22"/>
          <w:lang w:val="en-CA"/>
        </w:rPr>
        <w:t>3 S</w:t>
      </w:r>
      <w:r>
        <w:rPr>
          <w:rFonts w:ascii="Arial" w:eastAsiaTheme="minorHAnsi" w:hAnsi="Arial" w:cs="Arial"/>
          <w:spacing w:val="-1"/>
          <w:sz w:val="22"/>
          <w:szCs w:val="22"/>
          <w:lang w:val="en-CA"/>
        </w:rPr>
        <w:t>i</w:t>
      </w:r>
      <w:r>
        <w:rPr>
          <w:rFonts w:ascii="Arial" w:eastAsiaTheme="minorHAnsi" w:hAnsi="Arial" w:cs="Arial"/>
          <w:spacing w:val="-2"/>
          <w:sz w:val="22"/>
          <w:szCs w:val="22"/>
          <w:lang w:val="en-CA"/>
        </w:rPr>
        <w:t>x</w:t>
      </w:r>
      <w:r>
        <w:rPr>
          <w:rFonts w:ascii="Arial" w:eastAsiaTheme="minorHAnsi" w:hAnsi="Arial" w:cs="Arial"/>
          <w:spacing w:val="1"/>
          <w:sz w:val="22"/>
          <w:szCs w:val="22"/>
          <w:lang w:val="en-CA"/>
        </w:rPr>
        <w:t>t</w:t>
      </w:r>
      <w:r>
        <w:rPr>
          <w:rFonts w:ascii="Arial" w:eastAsiaTheme="minorHAnsi" w:hAnsi="Arial" w:cs="Arial"/>
          <w:sz w:val="22"/>
          <w:szCs w:val="22"/>
          <w:lang w:val="en-CA"/>
        </w:rPr>
        <w:t>h A</w:t>
      </w:r>
      <w:r>
        <w:rPr>
          <w:rFonts w:ascii="Arial" w:eastAsiaTheme="minorHAnsi" w:hAnsi="Arial" w:cs="Arial"/>
          <w:spacing w:val="-3"/>
          <w:sz w:val="22"/>
          <w:szCs w:val="22"/>
          <w:lang w:val="en-CA"/>
        </w:rPr>
        <w:t>v</w:t>
      </w:r>
      <w:r>
        <w:rPr>
          <w:rFonts w:ascii="Arial" w:eastAsiaTheme="minorHAnsi" w:hAnsi="Arial" w:cs="Arial"/>
          <w:sz w:val="22"/>
          <w:szCs w:val="22"/>
          <w:lang w:val="en-CA"/>
        </w:rPr>
        <w:t>e</w:t>
      </w:r>
      <w:r>
        <w:rPr>
          <w:rFonts w:ascii="Arial" w:eastAsiaTheme="minorHAnsi" w:hAnsi="Arial" w:cs="Arial"/>
          <w:spacing w:val="-1"/>
          <w:sz w:val="22"/>
          <w:szCs w:val="22"/>
          <w:lang w:val="en-CA"/>
        </w:rPr>
        <w:t>n</w:t>
      </w:r>
      <w:r>
        <w:rPr>
          <w:rFonts w:ascii="Arial" w:eastAsiaTheme="minorHAnsi" w:hAnsi="Arial" w:cs="Arial"/>
          <w:sz w:val="22"/>
          <w:szCs w:val="22"/>
          <w:lang w:val="en-CA"/>
        </w:rPr>
        <w:t>ue</w:t>
      </w:r>
    </w:p>
    <w:p w:rsidR="003C6021" w:rsidRDefault="003C6021" w:rsidP="003C6021">
      <w:pPr>
        <w:autoSpaceDE w:val="0"/>
        <w:autoSpaceDN w:val="0"/>
        <w:adjustRightInd w:val="0"/>
        <w:spacing w:before="1"/>
        <w:ind w:left="88" w:right="-20"/>
        <w:rPr>
          <w:rFonts w:ascii="Arial" w:eastAsiaTheme="minorHAnsi" w:hAnsi="Arial" w:cs="Arial"/>
          <w:sz w:val="22"/>
          <w:szCs w:val="22"/>
          <w:lang w:val="en-CA"/>
        </w:rPr>
      </w:pPr>
      <w:r>
        <w:rPr>
          <w:rFonts w:ascii="Arial" w:eastAsiaTheme="minorHAnsi" w:hAnsi="Arial" w:cs="Arial"/>
          <w:spacing w:val="-1"/>
          <w:sz w:val="22"/>
          <w:szCs w:val="22"/>
          <w:lang w:val="en-CA"/>
        </w:rPr>
        <w:t>P</w:t>
      </w:r>
      <w:r>
        <w:rPr>
          <w:rFonts w:ascii="Arial" w:eastAsiaTheme="minorHAnsi" w:hAnsi="Arial" w:cs="Arial"/>
          <w:spacing w:val="1"/>
          <w:sz w:val="22"/>
          <w:szCs w:val="22"/>
          <w:lang w:val="en-CA"/>
        </w:rPr>
        <w:t>.</w:t>
      </w:r>
      <w:r>
        <w:rPr>
          <w:rFonts w:ascii="Arial" w:eastAsiaTheme="minorHAnsi" w:hAnsi="Arial" w:cs="Arial"/>
          <w:spacing w:val="-1"/>
          <w:sz w:val="22"/>
          <w:szCs w:val="22"/>
          <w:lang w:val="en-CA"/>
        </w:rPr>
        <w:t>O</w:t>
      </w:r>
      <w:r>
        <w:rPr>
          <w:rFonts w:ascii="Arial" w:eastAsiaTheme="minorHAnsi" w:hAnsi="Arial" w:cs="Arial"/>
          <w:sz w:val="22"/>
          <w:szCs w:val="22"/>
          <w:lang w:val="en-CA"/>
        </w:rPr>
        <w:t>.</w:t>
      </w:r>
      <w:r>
        <w:rPr>
          <w:rFonts w:ascii="Arial" w:eastAsiaTheme="minorHAnsi" w:hAnsi="Arial" w:cs="Arial"/>
          <w:spacing w:val="2"/>
          <w:sz w:val="22"/>
          <w:szCs w:val="22"/>
          <w:lang w:val="en-CA"/>
        </w:rPr>
        <w:t xml:space="preserve"> </w:t>
      </w:r>
      <w:r>
        <w:rPr>
          <w:rFonts w:ascii="Arial" w:eastAsiaTheme="minorHAnsi" w:hAnsi="Arial" w:cs="Arial"/>
          <w:spacing w:val="-1"/>
          <w:sz w:val="22"/>
          <w:szCs w:val="22"/>
          <w:lang w:val="en-CA"/>
        </w:rPr>
        <w:t>B</w:t>
      </w:r>
      <w:r>
        <w:rPr>
          <w:rFonts w:ascii="Arial" w:eastAsiaTheme="minorHAnsi" w:hAnsi="Arial" w:cs="Arial"/>
          <w:sz w:val="22"/>
          <w:szCs w:val="22"/>
          <w:lang w:val="en-CA"/>
        </w:rPr>
        <w:t>ox</w:t>
      </w:r>
      <w:r>
        <w:rPr>
          <w:rFonts w:ascii="Arial" w:eastAsiaTheme="minorHAnsi" w:hAnsi="Arial" w:cs="Arial"/>
          <w:spacing w:val="-2"/>
          <w:sz w:val="22"/>
          <w:szCs w:val="22"/>
          <w:lang w:val="en-CA"/>
        </w:rPr>
        <w:t xml:space="preserve"> </w:t>
      </w:r>
      <w:r>
        <w:rPr>
          <w:rFonts w:ascii="Arial" w:eastAsiaTheme="minorHAnsi" w:hAnsi="Arial" w:cs="Arial"/>
          <w:sz w:val="22"/>
          <w:szCs w:val="22"/>
          <w:lang w:val="en-CA"/>
        </w:rPr>
        <w:t>6</w:t>
      </w:r>
      <w:r>
        <w:rPr>
          <w:rFonts w:ascii="Arial" w:eastAsiaTheme="minorHAnsi" w:hAnsi="Arial" w:cs="Arial"/>
          <w:spacing w:val="-1"/>
          <w:sz w:val="22"/>
          <w:szCs w:val="22"/>
          <w:lang w:val="en-CA"/>
        </w:rPr>
        <w:t>4</w:t>
      </w:r>
      <w:r>
        <w:rPr>
          <w:rFonts w:ascii="Arial" w:eastAsiaTheme="minorHAnsi" w:hAnsi="Arial" w:cs="Arial"/>
          <w:sz w:val="22"/>
          <w:szCs w:val="22"/>
          <w:lang w:val="en-CA"/>
        </w:rPr>
        <w:t>0</w:t>
      </w:r>
    </w:p>
    <w:p w:rsidR="003C6021" w:rsidRDefault="003C6021" w:rsidP="00753A40">
      <w:pPr>
        <w:tabs>
          <w:tab w:val="left" w:pos="1418"/>
        </w:tabs>
        <w:autoSpaceDE w:val="0"/>
        <w:autoSpaceDN w:val="0"/>
        <w:adjustRightInd w:val="0"/>
        <w:spacing w:before="3" w:line="252" w:lineRule="exact"/>
        <w:ind w:left="88" w:right="7080"/>
        <w:rPr>
          <w:rFonts w:ascii="Arial" w:eastAsiaTheme="minorHAnsi" w:hAnsi="Arial" w:cs="Arial"/>
          <w:sz w:val="22"/>
          <w:szCs w:val="22"/>
          <w:lang w:val="en-CA"/>
        </w:rPr>
      </w:pPr>
      <w:r>
        <w:rPr>
          <w:rFonts w:ascii="Arial" w:eastAsiaTheme="minorHAnsi" w:hAnsi="Arial" w:cs="Arial"/>
          <w:spacing w:val="-1"/>
          <w:sz w:val="22"/>
          <w:szCs w:val="22"/>
          <w:lang w:val="en-CA"/>
        </w:rPr>
        <w:t>C</w:t>
      </w:r>
      <w:r>
        <w:rPr>
          <w:rFonts w:ascii="Arial" w:eastAsiaTheme="minorHAnsi" w:hAnsi="Arial" w:cs="Arial"/>
          <w:sz w:val="22"/>
          <w:szCs w:val="22"/>
          <w:lang w:val="en-CA"/>
        </w:rPr>
        <w:t>oc</w:t>
      </w:r>
      <w:r>
        <w:rPr>
          <w:rFonts w:ascii="Arial" w:eastAsiaTheme="minorHAnsi" w:hAnsi="Arial" w:cs="Arial"/>
          <w:spacing w:val="-1"/>
          <w:sz w:val="22"/>
          <w:szCs w:val="22"/>
          <w:lang w:val="en-CA"/>
        </w:rPr>
        <w:t>h</w:t>
      </w:r>
      <w:r>
        <w:rPr>
          <w:rFonts w:ascii="Arial" w:eastAsiaTheme="minorHAnsi" w:hAnsi="Arial" w:cs="Arial"/>
          <w:spacing w:val="1"/>
          <w:sz w:val="22"/>
          <w:szCs w:val="22"/>
          <w:lang w:val="en-CA"/>
        </w:rPr>
        <w:t>r</w:t>
      </w:r>
      <w:r>
        <w:rPr>
          <w:rFonts w:ascii="Arial" w:eastAsiaTheme="minorHAnsi" w:hAnsi="Arial" w:cs="Arial"/>
          <w:sz w:val="22"/>
          <w:szCs w:val="22"/>
          <w:lang w:val="en-CA"/>
        </w:rPr>
        <w:t>a</w:t>
      </w:r>
      <w:r>
        <w:rPr>
          <w:rFonts w:ascii="Arial" w:eastAsiaTheme="minorHAnsi" w:hAnsi="Arial" w:cs="Arial"/>
          <w:spacing w:val="-1"/>
          <w:sz w:val="22"/>
          <w:szCs w:val="22"/>
          <w:lang w:val="en-CA"/>
        </w:rPr>
        <w:t>n</w:t>
      </w:r>
      <w:r>
        <w:rPr>
          <w:rFonts w:ascii="Arial" w:eastAsiaTheme="minorHAnsi" w:hAnsi="Arial" w:cs="Arial"/>
          <w:sz w:val="22"/>
          <w:szCs w:val="22"/>
          <w:lang w:val="en-CA"/>
        </w:rPr>
        <w:t>e,</w:t>
      </w:r>
      <w:r>
        <w:rPr>
          <w:rFonts w:ascii="Arial" w:eastAsiaTheme="minorHAnsi" w:hAnsi="Arial" w:cs="Arial"/>
          <w:spacing w:val="-1"/>
          <w:sz w:val="22"/>
          <w:szCs w:val="22"/>
          <w:lang w:val="en-CA"/>
        </w:rPr>
        <w:t xml:space="preserve"> </w:t>
      </w:r>
      <w:r>
        <w:rPr>
          <w:rFonts w:ascii="Arial" w:eastAsiaTheme="minorHAnsi" w:hAnsi="Arial" w:cs="Arial"/>
          <w:spacing w:val="1"/>
          <w:sz w:val="22"/>
          <w:szCs w:val="22"/>
          <w:lang w:val="en-CA"/>
        </w:rPr>
        <w:t>O</w:t>
      </w:r>
      <w:r>
        <w:rPr>
          <w:rFonts w:ascii="Arial" w:eastAsiaTheme="minorHAnsi" w:hAnsi="Arial" w:cs="Arial"/>
          <w:sz w:val="22"/>
          <w:szCs w:val="22"/>
          <w:lang w:val="en-CA"/>
        </w:rPr>
        <w:t xml:space="preserve">N </w:t>
      </w:r>
      <w:r>
        <w:rPr>
          <w:rFonts w:ascii="Arial" w:eastAsiaTheme="minorHAnsi" w:hAnsi="Arial" w:cs="Arial"/>
          <w:spacing w:val="-1"/>
          <w:sz w:val="22"/>
          <w:szCs w:val="22"/>
          <w:lang w:val="en-CA"/>
        </w:rPr>
        <w:t>P</w:t>
      </w:r>
      <w:r>
        <w:rPr>
          <w:rFonts w:ascii="Arial" w:eastAsiaTheme="minorHAnsi" w:hAnsi="Arial" w:cs="Arial"/>
          <w:sz w:val="22"/>
          <w:szCs w:val="22"/>
          <w:lang w:val="en-CA"/>
        </w:rPr>
        <w:t>0L 1</w:t>
      </w:r>
      <w:r>
        <w:rPr>
          <w:rFonts w:ascii="Arial" w:eastAsiaTheme="minorHAnsi" w:hAnsi="Arial" w:cs="Arial"/>
          <w:spacing w:val="-1"/>
          <w:sz w:val="22"/>
          <w:szCs w:val="22"/>
          <w:lang w:val="en-CA"/>
        </w:rPr>
        <w:t>C</w:t>
      </w:r>
      <w:r>
        <w:rPr>
          <w:rFonts w:ascii="Arial" w:eastAsiaTheme="minorHAnsi" w:hAnsi="Arial" w:cs="Arial"/>
          <w:sz w:val="22"/>
          <w:szCs w:val="22"/>
          <w:lang w:val="en-CA"/>
        </w:rPr>
        <w:t>0</w:t>
      </w:r>
    </w:p>
    <w:p w:rsidR="003C6021" w:rsidRDefault="003C6021" w:rsidP="003C6021">
      <w:pPr>
        <w:autoSpaceDE w:val="0"/>
        <w:autoSpaceDN w:val="0"/>
        <w:adjustRightInd w:val="0"/>
        <w:spacing w:before="10" w:line="240" w:lineRule="exact"/>
        <w:rPr>
          <w:rFonts w:ascii="Arial" w:eastAsiaTheme="minorHAnsi" w:hAnsi="Arial" w:cs="Arial"/>
          <w:sz w:val="24"/>
          <w:szCs w:val="24"/>
          <w:lang w:val="en-CA"/>
        </w:rPr>
      </w:pPr>
    </w:p>
    <w:p w:rsidR="003C6021" w:rsidRDefault="003C6021" w:rsidP="003C6021">
      <w:pPr>
        <w:autoSpaceDE w:val="0"/>
        <w:autoSpaceDN w:val="0"/>
        <w:adjustRightInd w:val="0"/>
        <w:ind w:left="88" w:right="-20"/>
        <w:rPr>
          <w:rFonts w:ascii="Arial" w:eastAsiaTheme="minorHAnsi" w:hAnsi="Arial" w:cs="Arial"/>
          <w:sz w:val="22"/>
          <w:szCs w:val="22"/>
          <w:lang w:val="en-CA"/>
        </w:rPr>
      </w:pPr>
      <w:r>
        <w:rPr>
          <w:rFonts w:ascii="Arial" w:eastAsiaTheme="minorHAnsi" w:hAnsi="Arial" w:cs="Arial"/>
          <w:spacing w:val="-1"/>
          <w:sz w:val="22"/>
          <w:szCs w:val="22"/>
          <w:lang w:val="en-CA"/>
        </w:rPr>
        <w:t>March 15</w:t>
      </w:r>
      <w:r>
        <w:rPr>
          <w:rFonts w:ascii="Arial" w:eastAsiaTheme="minorHAnsi" w:hAnsi="Arial" w:cs="Arial"/>
          <w:sz w:val="22"/>
          <w:szCs w:val="22"/>
          <w:lang w:val="en-CA"/>
        </w:rPr>
        <w:t>, 2</w:t>
      </w:r>
      <w:r>
        <w:rPr>
          <w:rFonts w:ascii="Arial" w:eastAsiaTheme="minorHAnsi" w:hAnsi="Arial" w:cs="Arial"/>
          <w:spacing w:val="-1"/>
          <w:sz w:val="22"/>
          <w:szCs w:val="22"/>
          <w:lang w:val="en-CA"/>
        </w:rPr>
        <w:t>0</w:t>
      </w:r>
      <w:r>
        <w:rPr>
          <w:rFonts w:ascii="Arial" w:eastAsiaTheme="minorHAnsi" w:hAnsi="Arial" w:cs="Arial"/>
          <w:sz w:val="22"/>
          <w:szCs w:val="22"/>
          <w:lang w:val="en-CA"/>
        </w:rPr>
        <w:t>13</w:t>
      </w:r>
    </w:p>
    <w:p w:rsidR="003C6021" w:rsidRDefault="003C6021" w:rsidP="003C6021">
      <w:pPr>
        <w:autoSpaceDE w:val="0"/>
        <w:autoSpaceDN w:val="0"/>
        <w:adjustRightInd w:val="0"/>
        <w:spacing w:before="14" w:line="240" w:lineRule="exact"/>
        <w:rPr>
          <w:rFonts w:ascii="Arial" w:eastAsiaTheme="minorHAnsi" w:hAnsi="Arial" w:cs="Arial"/>
          <w:sz w:val="24"/>
          <w:szCs w:val="24"/>
          <w:lang w:val="en-CA"/>
        </w:rPr>
      </w:pPr>
    </w:p>
    <w:p w:rsidR="0008744C" w:rsidRDefault="003C6021" w:rsidP="00753A40">
      <w:pPr>
        <w:autoSpaceDE w:val="0"/>
        <w:autoSpaceDN w:val="0"/>
        <w:adjustRightInd w:val="0"/>
        <w:spacing w:line="239" w:lineRule="auto"/>
        <w:ind w:left="88" w:right="5663"/>
        <w:rPr>
          <w:rFonts w:ascii="Arial" w:eastAsiaTheme="minorHAnsi" w:hAnsi="Arial" w:cs="Arial"/>
          <w:sz w:val="22"/>
          <w:szCs w:val="22"/>
          <w:lang w:val="en-CA"/>
        </w:rPr>
      </w:pPr>
      <w:r>
        <w:rPr>
          <w:rFonts w:ascii="Arial" w:eastAsiaTheme="minorHAnsi" w:hAnsi="Arial" w:cs="Arial"/>
          <w:spacing w:val="-4"/>
          <w:sz w:val="22"/>
          <w:szCs w:val="22"/>
          <w:lang w:val="en-CA"/>
        </w:rPr>
        <w:t>M</w:t>
      </w:r>
      <w:r>
        <w:rPr>
          <w:rFonts w:ascii="Arial" w:eastAsiaTheme="minorHAnsi" w:hAnsi="Arial" w:cs="Arial"/>
          <w:sz w:val="22"/>
          <w:szCs w:val="22"/>
          <w:lang w:val="en-CA"/>
        </w:rPr>
        <w:t>s.</w:t>
      </w:r>
      <w:r>
        <w:rPr>
          <w:rFonts w:ascii="Arial" w:eastAsiaTheme="minorHAnsi" w:hAnsi="Arial" w:cs="Arial"/>
          <w:spacing w:val="2"/>
          <w:sz w:val="22"/>
          <w:szCs w:val="22"/>
          <w:lang w:val="en-CA"/>
        </w:rPr>
        <w:t xml:space="preserve"> </w:t>
      </w:r>
      <w:r>
        <w:rPr>
          <w:rFonts w:ascii="Arial" w:eastAsiaTheme="minorHAnsi" w:hAnsi="Arial" w:cs="Arial"/>
          <w:spacing w:val="-1"/>
          <w:sz w:val="22"/>
          <w:szCs w:val="22"/>
          <w:lang w:val="en-CA"/>
        </w:rPr>
        <w:t>Ki</w:t>
      </w:r>
      <w:r>
        <w:rPr>
          <w:rFonts w:ascii="Arial" w:eastAsiaTheme="minorHAnsi" w:hAnsi="Arial" w:cs="Arial"/>
          <w:spacing w:val="1"/>
          <w:sz w:val="22"/>
          <w:szCs w:val="22"/>
          <w:lang w:val="en-CA"/>
        </w:rPr>
        <w:t>r</w:t>
      </w:r>
      <w:r>
        <w:rPr>
          <w:rFonts w:ascii="Arial" w:eastAsiaTheme="minorHAnsi" w:hAnsi="Arial" w:cs="Arial"/>
          <w:sz w:val="22"/>
          <w:szCs w:val="22"/>
          <w:lang w:val="en-CA"/>
        </w:rPr>
        <w:t>s</w:t>
      </w:r>
      <w:r>
        <w:rPr>
          <w:rFonts w:ascii="Arial" w:eastAsiaTheme="minorHAnsi" w:hAnsi="Arial" w:cs="Arial"/>
          <w:spacing w:val="1"/>
          <w:sz w:val="22"/>
          <w:szCs w:val="22"/>
          <w:lang w:val="en-CA"/>
        </w:rPr>
        <w:t>t</w:t>
      </w:r>
      <w:r>
        <w:rPr>
          <w:rFonts w:ascii="Arial" w:eastAsiaTheme="minorHAnsi" w:hAnsi="Arial" w:cs="Arial"/>
          <w:spacing w:val="-1"/>
          <w:sz w:val="22"/>
          <w:szCs w:val="22"/>
          <w:lang w:val="en-CA"/>
        </w:rPr>
        <w:t>i</w:t>
      </w:r>
      <w:r>
        <w:rPr>
          <w:rFonts w:ascii="Arial" w:eastAsiaTheme="minorHAnsi" w:hAnsi="Arial" w:cs="Arial"/>
          <w:sz w:val="22"/>
          <w:szCs w:val="22"/>
          <w:lang w:val="en-CA"/>
        </w:rPr>
        <w:t>n</w:t>
      </w:r>
      <w:r>
        <w:rPr>
          <w:rFonts w:ascii="Arial" w:eastAsiaTheme="minorHAnsi" w:hAnsi="Arial" w:cs="Arial"/>
          <w:spacing w:val="-4"/>
          <w:sz w:val="22"/>
          <w:szCs w:val="22"/>
          <w:lang w:val="en-CA"/>
        </w:rPr>
        <w:t xml:space="preserve"> </w:t>
      </w:r>
      <w:r>
        <w:rPr>
          <w:rFonts w:ascii="Arial" w:eastAsiaTheme="minorHAnsi" w:hAnsi="Arial" w:cs="Arial"/>
          <w:spacing w:val="7"/>
          <w:sz w:val="22"/>
          <w:szCs w:val="22"/>
          <w:lang w:val="en-CA"/>
        </w:rPr>
        <w:t>W</w:t>
      </w:r>
      <w:r>
        <w:rPr>
          <w:rFonts w:ascii="Arial" w:eastAsiaTheme="minorHAnsi" w:hAnsi="Arial" w:cs="Arial"/>
          <w:spacing w:val="-3"/>
          <w:sz w:val="22"/>
          <w:szCs w:val="22"/>
          <w:lang w:val="en-CA"/>
        </w:rPr>
        <w:t>a</w:t>
      </w:r>
      <w:r>
        <w:rPr>
          <w:rFonts w:ascii="Arial" w:eastAsiaTheme="minorHAnsi" w:hAnsi="Arial" w:cs="Arial"/>
          <w:spacing w:val="-1"/>
          <w:sz w:val="22"/>
          <w:szCs w:val="22"/>
          <w:lang w:val="en-CA"/>
        </w:rPr>
        <w:t>ll</w:t>
      </w:r>
      <w:r>
        <w:rPr>
          <w:rFonts w:ascii="Arial" w:eastAsiaTheme="minorHAnsi" w:hAnsi="Arial" w:cs="Arial"/>
          <w:sz w:val="22"/>
          <w:szCs w:val="22"/>
          <w:lang w:val="en-CA"/>
        </w:rPr>
        <w:t xml:space="preserve">i </w:t>
      </w:r>
    </w:p>
    <w:p w:rsidR="00753A40" w:rsidRDefault="003C6021" w:rsidP="00753A40">
      <w:pPr>
        <w:autoSpaceDE w:val="0"/>
        <w:autoSpaceDN w:val="0"/>
        <w:adjustRightInd w:val="0"/>
        <w:spacing w:line="239" w:lineRule="auto"/>
        <w:ind w:left="88" w:right="5663"/>
        <w:rPr>
          <w:rFonts w:ascii="Arial" w:eastAsiaTheme="minorHAnsi" w:hAnsi="Arial" w:cs="Arial"/>
          <w:sz w:val="22"/>
          <w:szCs w:val="22"/>
          <w:lang w:val="en-CA"/>
        </w:rPr>
      </w:pPr>
      <w:r>
        <w:rPr>
          <w:rFonts w:ascii="Arial" w:eastAsiaTheme="minorHAnsi" w:hAnsi="Arial" w:cs="Arial"/>
          <w:spacing w:val="-1"/>
          <w:sz w:val="22"/>
          <w:szCs w:val="22"/>
          <w:lang w:val="en-CA"/>
        </w:rPr>
        <w:t>B</w:t>
      </w:r>
      <w:r>
        <w:rPr>
          <w:rFonts w:ascii="Arial" w:eastAsiaTheme="minorHAnsi" w:hAnsi="Arial" w:cs="Arial"/>
          <w:sz w:val="22"/>
          <w:szCs w:val="22"/>
          <w:lang w:val="en-CA"/>
        </w:rPr>
        <w:t>o</w:t>
      </w:r>
      <w:r>
        <w:rPr>
          <w:rFonts w:ascii="Arial" w:eastAsiaTheme="minorHAnsi" w:hAnsi="Arial" w:cs="Arial"/>
          <w:spacing w:val="-1"/>
          <w:sz w:val="22"/>
          <w:szCs w:val="22"/>
          <w:lang w:val="en-CA"/>
        </w:rPr>
        <w:t>a</w:t>
      </w:r>
      <w:r>
        <w:rPr>
          <w:rFonts w:ascii="Arial" w:eastAsiaTheme="minorHAnsi" w:hAnsi="Arial" w:cs="Arial"/>
          <w:spacing w:val="1"/>
          <w:sz w:val="22"/>
          <w:szCs w:val="22"/>
          <w:lang w:val="en-CA"/>
        </w:rPr>
        <w:t>r</w:t>
      </w:r>
      <w:r>
        <w:rPr>
          <w:rFonts w:ascii="Arial" w:eastAsiaTheme="minorHAnsi" w:hAnsi="Arial" w:cs="Arial"/>
          <w:sz w:val="22"/>
          <w:szCs w:val="22"/>
          <w:lang w:val="en-CA"/>
        </w:rPr>
        <w:t>d Secr</w:t>
      </w:r>
      <w:r>
        <w:rPr>
          <w:rFonts w:ascii="Arial" w:eastAsiaTheme="minorHAnsi" w:hAnsi="Arial" w:cs="Arial"/>
          <w:spacing w:val="-2"/>
          <w:sz w:val="22"/>
          <w:szCs w:val="22"/>
          <w:lang w:val="en-CA"/>
        </w:rPr>
        <w:t>e</w:t>
      </w:r>
      <w:r>
        <w:rPr>
          <w:rFonts w:ascii="Arial" w:eastAsiaTheme="minorHAnsi" w:hAnsi="Arial" w:cs="Arial"/>
          <w:spacing w:val="1"/>
          <w:sz w:val="22"/>
          <w:szCs w:val="22"/>
          <w:lang w:val="en-CA"/>
        </w:rPr>
        <w:t>t</w:t>
      </w:r>
      <w:r>
        <w:rPr>
          <w:rFonts w:ascii="Arial" w:eastAsiaTheme="minorHAnsi" w:hAnsi="Arial" w:cs="Arial"/>
          <w:sz w:val="22"/>
          <w:szCs w:val="22"/>
          <w:lang w:val="en-CA"/>
        </w:rPr>
        <w:t xml:space="preserve">ary </w:t>
      </w:r>
    </w:p>
    <w:p w:rsidR="00753A40" w:rsidRDefault="003C6021" w:rsidP="00753A40">
      <w:pPr>
        <w:autoSpaceDE w:val="0"/>
        <w:autoSpaceDN w:val="0"/>
        <w:adjustRightInd w:val="0"/>
        <w:spacing w:line="239" w:lineRule="auto"/>
        <w:ind w:left="88" w:right="5663"/>
        <w:rPr>
          <w:rFonts w:ascii="Arial" w:eastAsiaTheme="minorHAnsi" w:hAnsi="Arial" w:cs="Arial"/>
          <w:sz w:val="22"/>
          <w:szCs w:val="22"/>
          <w:lang w:val="en-CA"/>
        </w:rPr>
      </w:pPr>
      <w:r>
        <w:rPr>
          <w:rFonts w:ascii="Arial" w:eastAsiaTheme="minorHAnsi" w:hAnsi="Arial" w:cs="Arial"/>
          <w:spacing w:val="1"/>
          <w:sz w:val="22"/>
          <w:szCs w:val="22"/>
          <w:lang w:val="en-CA"/>
        </w:rPr>
        <w:t>O</w:t>
      </w:r>
      <w:r>
        <w:rPr>
          <w:rFonts w:ascii="Arial" w:eastAsiaTheme="minorHAnsi" w:hAnsi="Arial" w:cs="Arial"/>
          <w:sz w:val="22"/>
          <w:szCs w:val="22"/>
          <w:lang w:val="en-CA"/>
        </w:rPr>
        <w:t>nt</w:t>
      </w:r>
      <w:r>
        <w:rPr>
          <w:rFonts w:ascii="Arial" w:eastAsiaTheme="minorHAnsi" w:hAnsi="Arial" w:cs="Arial"/>
          <w:spacing w:val="-2"/>
          <w:sz w:val="22"/>
          <w:szCs w:val="22"/>
          <w:lang w:val="en-CA"/>
        </w:rPr>
        <w:t>a</w:t>
      </w:r>
      <w:r>
        <w:rPr>
          <w:rFonts w:ascii="Arial" w:eastAsiaTheme="minorHAnsi" w:hAnsi="Arial" w:cs="Arial"/>
          <w:spacing w:val="1"/>
          <w:sz w:val="22"/>
          <w:szCs w:val="22"/>
          <w:lang w:val="en-CA"/>
        </w:rPr>
        <w:t>r</w:t>
      </w:r>
      <w:r>
        <w:rPr>
          <w:rFonts w:ascii="Arial" w:eastAsiaTheme="minorHAnsi" w:hAnsi="Arial" w:cs="Arial"/>
          <w:spacing w:val="-1"/>
          <w:sz w:val="22"/>
          <w:szCs w:val="22"/>
          <w:lang w:val="en-CA"/>
        </w:rPr>
        <w:t>i</w:t>
      </w:r>
      <w:r>
        <w:rPr>
          <w:rFonts w:ascii="Arial" w:eastAsiaTheme="minorHAnsi" w:hAnsi="Arial" w:cs="Arial"/>
          <w:sz w:val="22"/>
          <w:szCs w:val="22"/>
          <w:lang w:val="en-CA"/>
        </w:rPr>
        <w:t>o En</w:t>
      </w:r>
      <w:r>
        <w:rPr>
          <w:rFonts w:ascii="Arial" w:eastAsiaTheme="minorHAnsi" w:hAnsi="Arial" w:cs="Arial"/>
          <w:spacing w:val="-1"/>
          <w:sz w:val="22"/>
          <w:szCs w:val="22"/>
          <w:lang w:val="en-CA"/>
        </w:rPr>
        <w:t>e</w:t>
      </w:r>
      <w:r>
        <w:rPr>
          <w:rFonts w:ascii="Arial" w:eastAsiaTheme="minorHAnsi" w:hAnsi="Arial" w:cs="Arial"/>
          <w:spacing w:val="-2"/>
          <w:sz w:val="22"/>
          <w:szCs w:val="22"/>
          <w:lang w:val="en-CA"/>
        </w:rPr>
        <w:t>r</w:t>
      </w:r>
      <w:r>
        <w:rPr>
          <w:rFonts w:ascii="Arial" w:eastAsiaTheme="minorHAnsi" w:hAnsi="Arial" w:cs="Arial"/>
          <w:spacing w:val="2"/>
          <w:sz w:val="22"/>
          <w:szCs w:val="22"/>
          <w:lang w:val="en-CA"/>
        </w:rPr>
        <w:t>g</w:t>
      </w:r>
      <w:r>
        <w:rPr>
          <w:rFonts w:ascii="Arial" w:eastAsiaTheme="minorHAnsi" w:hAnsi="Arial" w:cs="Arial"/>
          <w:sz w:val="22"/>
          <w:szCs w:val="22"/>
          <w:lang w:val="en-CA"/>
        </w:rPr>
        <w:t>y</w:t>
      </w:r>
      <w:r>
        <w:rPr>
          <w:rFonts w:ascii="Arial" w:eastAsiaTheme="minorHAnsi" w:hAnsi="Arial" w:cs="Arial"/>
          <w:spacing w:val="-1"/>
          <w:sz w:val="22"/>
          <w:szCs w:val="22"/>
          <w:lang w:val="en-CA"/>
        </w:rPr>
        <w:t xml:space="preserve"> B</w:t>
      </w:r>
      <w:r>
        <w:rPr>
          <w:rFonts w:ascii="Arial" w:eastAsiaTheme="minorHAnsi" w:hAnsi="Arial" w:cs="Arial"/>
          <w:sz w:val="22"/>
          <w:szCs w:val="22"/>
          <w:lang w:val="en-CA"/>
        </w:rPr>
        <w:t>o</w:t>
      </w:r>
      <w:r>
        <w:rPr>
          <w:rFonts w:ascii="Arial" w:eastAsiaTheme="minorHAnsi" w:hAnsi="Arial" w:cs="Arial"/>
          <w:spacing w:val="-1"/>
          <w:sz w:val="22"/>
          <w:szCs w:val="22"/>
          <w:lang w:val="en-CA"/>
        </w:rPr>
        <w:t>a</w:t>
      </w:r>
      <w:r>
        <w:rPr>
          <w:rFonts w:ascii="Arial" w:eastAsiaTheme="minorHAnsi" w:hAnsi="Arial" w:cs="Arial"/>
          <w:spacing w:val="1"/>
          <w:sz w:val="22"/>
          <w:szCs w:val="22"/>
          <w:lang w:val="en-CA"/>
        </w:rPr>
        <w:t>r</w:t>
      </w:r>
      <w:r>
        <w:rPr>
          <w:rFonts w:ascii="Arial" w:eastAsiaTheme="minorHAnsi" w:hAnsi="Arial" w:cs="Arial"/>
          <w:sz w:val="22"/>
          <w:szCs w:val="22"/>
          <w:lang w:val="en-CA"/>
        </w:rPr>
        <w:t xml:space="preserve">d </w:t>
      </w:r>
    </w:p>
    <w:p w:rsidR="003C6021" w:rsidRDefault="003C6021" w:rsidP="00753A40">
      <w:pPr>
        <w:autoSpaceDE w:val="0"/>
        <w:autoSpaceDN w:val="0"/>
        <w:adjustRightInd w:val="0"/>
        <w:spacing w:line="239" w:lineRule="auto"/>
        <w:ind w:left="88" w:right="5663"/>
        <w:rPr>
          <w:rFonts w:ascii="Arial" w:eastAsiaTheme="minorHAnsi" w:hAnsi="Arial" w:cs="Arial"/>
          <w:sz w:val="22"/>
          <w:szCs w:val="22"/>
          <w:lang w:val="en-CA"/>
        </w:rPr>
      </w:pPr>
      <w:r>
        <w:rPr>
          <w:rFonts w:ascii="Arial" w:eastAsiaTheme="minorHAnsi" w:hAnsi="Arial" w:cs="Arial"/>
          <w:spacing w:val="-1"/>
          <w:sz w:val="22"/>
          <w:szCs w:val="22"/>
          <w:lang w:val="en-CA"/>
        </w:rPr>
        <w:t>P</w:t>
      </w:r>
      <w:r>
        <w:rPr>
          <w:rFonts w:ascii="Arial" w:eastAsiaTheme="minorHAnsi" w:hAnsi="Arial" w:cs="Arial"/>
          <w:spacing w:val="1"/>
          <w:sz w:val="22"/>
          <w:szCs w:val="22"/>
          <w:lang w:val="en-CA"/>
        </w:rPr>
        <w:t>.</w:t>
      </w:r>
      <w:r>
        <w:rPr>
          <w:rFonts w:ascii="Arial" w:eastAsiaTheme="minorHAnsi" w:hAnsi="Arial" w:cs="Arial"/>
          <w:spacing w:val="-1"/>
          <w:sz w:val="22"/>
          <w:szCs w:val="22"/>
          <w:lang w:val="en-CA"/>
        </w:rPr>
        <w:t>O</w:t>
      </w:r>
      <w:r>
        <w:rPr>
          <w:rFonts w:ascii="Arial" w:eastAsiaTheme="minorHAnsi" w:hAnsi="Arial" w:cs="Arial"/>
          <w:sz w:val="22"/>
          <w:szCs w:val="22"/>
          <w:lang w:val="en-CA"/>
        </w:rPr>
        <w:t>.</w:t>
      </w:r>
      <w:r>
        <w:rPr>
          <w:rFonts w:ascii="Arial" w:eastAsiaTheme="minorHAnsi" w:hAnsi="Arial" w:cs="Arial"/>
          <w:spacing w:val="2"/>
          <w:sz w:val="22"/>
          <w:szCs w:val="22"/>
          <w:lang w:val="en-CA"/>
        </w:rPr>
        <w:t xml:space="preserve"> </w:t>
      </w:r>
      <w:r>
        <w:rPr>
          <w:rFonts w:ascii="Arial" w:eastAsiaTheme="minorHAnsi" w:hAnsi="Arial" w:cs="Arial"/>
          <w:spacing w:val="-1"/>
          <w:sz w:val="22"/>
          <w:szCs w:val="22"/>
          <w:lang w:val="en-CA"/>
        </w:rPr>
        <w:t>B</w:t>
      </w:r>
      <w:r>
        <w:rPr>
          <w:rFonts w:ascii="Arial" w:eastAsiaTheme="minorHAnsi" w:hAnsi="Arial" w:cs="Arial"/>
          <w:sz w:val="22"/>
          <w:szCs w:val="22"/>
          <w:lang w:val="en-CA"/>
        </w:rPr>
        <w:t>ox</w:t>
      </w:r>
      <w:r>
        <w:rPr>
          <w:rFonts w:ascii="Arial" w:eastAsiaTheme="minorHAnsi" w:hAnsi="Arial" w:cs="Arial"/>
          <w:spacing w:val="-2"/>
          <w:sz w:val="22"/>
          <w:szCs w:val="22"/>
          <w:lang w:val="en-CA"/>
        </w:rPr>
        <w:t xml:space="preserve"> </w:t>
      </w:r>
      <w:r>
        <w:rPr>
          <w:rFonts w:ascii="Arial" w:eastAsiaTheme="minorHAnsi" w:hAnsi="Arial" w:cs="Arial"/>
          <w:sz w:val="22"/>
          <w:szCs w:val="22"/>
          <w:lang w:val="en-CA"/>
        </w:rPr>
        <w:t>2</w:t>
      </w:r>
      <w:r>
        <w:rPr>
          <w:rFonts w:ascii="Arial" w:eastAsiaTheme="minorHAnsi" w:hAnsi="Arial" w:cs="Arial"/>
          <w:spacing w:val="-1"/>
          <w:sz w:val="22"/>
          <w:szCs w:val="22"/>
          <w:lang w:val="en-CA"/>
        </w:rPr>
        <w:t>3</w:t>
      </w:r>
      <w:r>
        <w:rPr>
          <w:rFonts w:ascii="Arial" w:eastAsiaTheme="minorHAnsi" w:hAnsi="Arial" w:cs="Arial"/>
          <w:sz w:val="22"/>
          <w:szCs w:val="22"/>
          <w:lang w:val="en-CA"/>
        </w:rPr>
        <w:t>19</w:t>
      </w:r>
    </w:p>
    <w:p w:rsidR="003C6021" w:rsidRDefault="003C6021" w:rsidP="003C6021">
      <w:pPr>
        <w:autoSpaceDE w:val="0"/>
        <w:autoSpaceDN w:val="0"/>
        <w:adjustRightInd w:val="0"/>
        <w:spacing w:before="2"/>
        <w:ind w:left="88" w:right="-20"/>
        <w:rPr>
          <w:rFonts w:ascii="Arial" w:eastAsiaTheme="minorHAnsi" w:hAnsi="Arial" w:cs="Arial"/>
          <w:sz w:val="22"/>
          <w:szCs w:val="22"/>
          <w:lang w:val="en-CA"/>
        </w:rPr>
      </w:pPr>
      <w:r>
        <w:rPr>
          <w:rFonts w:ascii="Arial" w:eastAsiaTheme="minorHAnsi" w:hAnsi="Arial" w:cs="Arial"/>
          <w:sz w:val="22"/>
          <w:szCs w:val="22"/>
          <w:lang w:val="en-CA"/>
        </w:rPr>
        <w:t>2</w:t>
      </w:r>
      <w:r>
        <w:rPr>
          <w:rFonts w:ascii="Arial" w:eastAsiaTheme="minorHAnsi" w:hAnsi="Arial" w:cs="Arial"/>
          <w:spacing w:val="-1"/>
          <w:sz w:val="22"/>
          <w:szCs w:val="22"/>
          <w:lang w:val="en-CA"/>
        </w:rPr>
        <w:t>3</w:t>
      </w:r>
      <w:r>
        <w:rPr>
          <w:rFonts w:ascii="Arial" w:eastAsiaTheme="minorHAnsi" w:hAnsi="Arial" w:cs="Arial"/>
          <w:sz w:val="22"/>
          <w:szCs w:val="22"/>
          <w:lang w:val="en-CA"/>
        </w:rPr>
        <w:t xml:space="preserve">00 </w:t>
      </w:r>
      <w:proofErr w:type="spellStart"/>
      <w:r>
        <w:rPr>
          <w:rFonts w:ascii="Arial" w:eastAsiaTheme="minorHAnsi" w:hAnsi="Arial" w:cs="Arial"/>
          <w:spacing w:val="-1"/>
          <w:sz w:val="22"/>
          <w:szCs w:val="22"/>
          <w:lang w:val="en-CA"/>
        </w:rPr>
        <w:t>Y</w:t>
      </w:r>
      <w:r>
        <w:rPr>
          <w:rFonts w:ascii="Arial" w:eastAsiaTheme="minorHAnsi" w:hAnsi="Arial" w:cs="Arial"/>
          <w:sz w:val="22"/>
          <w:szCs w:val="22"/>
          <w:lang w:val="en-CA"/>
        </w:rPr>
        <w:t>o</w:t>
      </w:r>
      <w:r>
        <w:rPr>
          <w:rFonts w:ascii="Arial" w:eastAsiaTheme="minorHAnsi" w:hAnsi="Arial" w:cs="Arial"/>
          <w:spacing w:val="-1"/>
          <w:sz w:val="22"/>
          <w:szCs w:val="22"/>
          <w:lang w:val="en-CA"/>
        </w:rPr>
        <w:t>n</w:t>
      </w:r>
      <w:r>
        <w:rPr>
          <w:rFonts w:ascii="Arial" w:eastAsiaTheme="minorHAnsi" w:hAnsi="Arial" w:cs="Arial"/>
          <w:sz w:val="22"/>
          <w:szCs w:val="22"/>
          <w:lang w:val="en-CA"/>
        </w:rPr>
        <w:t>ge</w:t>
      </w:r>
      <w:proofErr w:type="spellEnd"/>
      <w:r>
        <w:rPr>
          <w:rFonts w:ascii="Arial" w:eastAsiaTheme="minorHAnsi" w:hAnsi="Arial" w:cs="Arial"/>
          <w:sz w:val="22"/>
          <w:szCs w:val="22"/>
          <w:lang w:val="en-CA"/>
        </w:rPr>
        <w:t xml:space="preserve"> </w:t>
      </w:r>
      <w:r>
        <w:rPr>
          <w:rFonts w:ascii="Arial" w:eastAsiaTheme="minorHAnsi" w:hAnsi="Arial" w:cs="Arial"/>
          <w:spacing w:val="-1"/>
          <w:sz w:val="22"/>
          <w:szCs w:val="22"/>
          <w:lang w:val="en-CA"/>
        </w:rPr>
        <w:t>St</w:t>
      </w:r>
      <w:r>
        <w:rPr>
          <w:rFonts w:ascii="Arial" w:eastAsiaTheme="minorHAnsi" w:hAnsi="Arial" w:cs="Arial"/>
          <w:spacing w:val="1"/>
          <w:sz w:val="22"/>
          <w:szCs w:val="22"/>
          <w:lang w:val="en-CA"/>
        </w:rPr>
        <w:t>r</w:t>
      </w:r>
      <w:r>
        <w:rPr>
          <w:rFonts w:ascii="Arial" w:eastAsiaTheme="minorHAnsi" w:hAnsi="Arial" w:cs="Arial"/>
          <w:sz w:val="22"/>
          <w:szCs w:val="22"/>
          <w:lang w:val="en-CA"/>
        </w:rPr>
        <w:t>e</w:t>
      </w:r>
      <w:r>
        <w:rPr>
          <w:rFonts w:ascii="Arial" w:eastAsiaTheme="minorHAnsi" w:hAnsi="Arial" w:cs="Arial"/>
          <w:spacing w:val="-1"/>
          <w:sz w:val="22"/>
          <w:szCs w:val="22"/>
          <w:lang w:val="en-CA"/>
        </w:rPr>
        <w:t>et</w:t>
      </w:r>
      <w:r>
        <w:rPr>
          <w:rFonts w:ascii="Arial" w:eastAsiaTheme="minorHAnsi" w:hAnsi="Arial" w:cs="Arial"/>
          <w:sz w:val="22"/>
          <w:szCs w:val="22"/>
          <w:lang w:val="en-CA"/>
        </w:rPr>
        <w:t>, 2</w:t>
      </w:r>
      <w:r>
        <w:rPr>
          <w:rFonts w:ascii="Arial" w:eastAsiaTheme="minorHAnsi" w:hAnsi="Arial" w:cs="Arial"/>
          <w:spacing w:val="-1"/>
          <w:sz w:val="22"/>
          <w:szCs w:val="22"/>
          <w:lang w:val="en-CA"/>
        </w:rPr>
        <w:t>7</w:t>
      </w:r>
      <w:r>
        <w:rPr>
          <w:rFonts w:ascii="Arial" w:eastAsiaTheme="minorHAnsi" w:hAnsi="Arial" w:cs="Arial"/>
          <w:spacing w:val="1"/>
          <w:sz w:val="22"/>
          <w:szCs w:val="22"/>
          <w:lang w:val="en-CA"/>
        </w:rPr>
        <w:t>t</w:t>
      </w:r>
      <w:r>
        <w:rPr>
          <w:rFonts w:ascii="Arial" w:eastAsiaTheme="minorHAnsi" w:hAnsi="Arial" w:cs="Arial"/>
          <w:sz w:val="22"/>
          <w:szCs w:val="22"/>
          <w:lang w:val="en-CA"/>
        </w:rPr>
        <w:t>h</w:t>
      </w:r>
      <w:r>
        <w:rPr>
          <w:rFonts w:ascii="Arial" w:eastAsiaTheme="minorHAnsi" w:hAnsi="Arial" w:cs="Arial"/>
          <w:spacing w:val="-4"/>
          <w:sz w:val="22"/>
          <w:szCs w:val="22"/>
          <w:lang w:val="en-CA"/>
        </w:rPr>
        <w:t xml:space="preserve"> </w:t>
      </w:r>
      <w:r>
        <w:rPr>
          <w:rFonts w:ascii="Arial" w:eastAsiaTheme="minorHAnsi" w:hAnsi="Arial" w:cs="Arial"/>
          <w:sz w:val="22"/>
          <w:szCs w:val="22"/>
          <w:lang w:val="en-CA"/>
        </w:rPr>
        <w:t>F</w:t>
      </w:r>
      <w:r>
        <w:rPr>
          <w:rFonts w:ascii="Arial" w:eastAsiaTheme="minorHAnsi" w:hAnsi="Arial" w:cs="Arial"/>
          <w:spacing w:val="-2"/>
          <w:sz w:val="22"/>
          <w:szCs w:val="22"/>
          <w:lang w:val="en-CA"/>
        </w:rPr>
        <w:t>l</w:t>
      </w:r>
      <w:r>
        <w:rPr>
          <w:rFonts w:ascii="Arial" w:eastAsiaTheme="minorHAnsi" w:hAnsi="Arial" w:cs="Arial"/>
          <w:sz w:val="22"/>
          <w:szCs w:val="22"/>
          <w:lang w:val="en-CA"/>
        </w:rPr>
        <w:t>o</w:t>
      </w:r>
      <w:r>
        <w:rPr>
          <w:rFonts w:ascii="Arial" w:eastAsiaTheme="minorHAnsi" w:hAnsi="Arial" w:cs="Arial"/>
          <w:spacing w:val="-1"/>
          <w:sz w:val="22"/>
          <w:szCs w:val="22"/>
          <w:lang w:val="en-CA"/>
        </w:rPr>
        <w:t>o</w:t>
      </w:r>
      <w:r>
        <w:rPr>
          <w:rFonts w:ascii="Arial" w:eastAsiaTheme="minorHAnsi" w:hAnsi="Arial" w:cs="Arial"/>
          <w:sz w:val="22"/>
          <w:szCs w:val="22"/>
          <w:lang w:val="en-CA"/>
        </w:rPr>
        <w:t>r</w:t>
      </w:r>
    </w:p>
    <w:p w:rsidR="003C6021" w:rsidRDefault="003C6021" w:rsidP="003C6021">
      <w:pPr>
        <w:autoSpaceDE w:val="0"/>
        <w:autoSpaceDN w:val="0"/>
        <w:adjustRightInd w:val="0"/>
        <w:spacing w:line="252" w:lineRule="exact"/>
        <w:ind w:left="88" w:right="-20"/>
        <w:rPr>
          <w:rFonts w:ascii="Arial" w:eastAsiaTheme="minorHAnsi" w:hAnsi="Arial" w:cs="Arial"/>
          <w:sz w:val="22"/>
          <w:szCs w:val="22"/>
          <w:lang w:val="en-CA"/>
        </w:rPr>
      </w:pPr>
      <w:r>
        <w:rPr>
          <w:rFonts w:ascii="Arial" w:eastAsiaTheme="minorHAnsi" w:hAnsi="Arial" w:cs="Arial"/>
          <w:spacing w:val="2"/>
          <w:sz w:val="22"/>
          <w:szCs w:val="22"/>
          <w:lang w:val="en-CA"/>
        </w:rPr>
        <w:t>T</w:t>
      </w:r>
      <w:r>
        <w:rPr>
          <w:rFonts w:ascii="Arial" w:eastAsiaTheme="minorHAnsi" w:hAnsi="Arial" w:cs="Arial"/>
          <w:sz w:val="22"/>
          <w:szCs w:val="22"/>
          <w:lang w:val="en-CA"/>
        </w:rPr>
        <w:t>o</w:t>
      </w:r>
      <w:r>
        <w:rPr>
          <w:rFonts w:ascii="Arial" w:eastAsiaTheme="minorHAnsi" w:hAnsi="Arial" w:cs="Arial"/>
          <w:spacing w:val="-2"/>
          <w:sz w:val="22"/>
          <w:szCs w:val="22"/>
          <w:lang w:val="en-CA"/>
        </w:rPr>
        <w:t>r</w:t>
      </w:r>
      <w:r>
        <w:rPr>
          <w:rFonts w:ascii="Arial" w:eastAsiaTheme="minorHAnsi" w:hAnsi="Arial" w:cs="Arial"/>
          <w:sz w:val="22"/>
          <w:szCs w:val="22"/>
          <w:lang w:val="en-CA"/>
        </w:rPr>
        <w:t>o</w:t>
      </w:r>
      <w:r>
        <w:rPr>
          <w:rFonts w:ascii="Arial" w:eastAsiaTheme="minorHAnsi" w:hAnsi="Arial" w:cs="Arial"/>
          <w:spacing w:val="-1"/>
          <w:sz w:val="22"/>
          <w:szCs w:val="22"/>
          <w:lang w:val="en-CA"/>
        </w:rPr>
        <w:t>n</w:t>
      </w:r>
      <w:r>
        <w:rPr>
          <w:rFonts w:ascii="Arial" w:eastAsiaTheme="minorHAnsi" w:hAnsi="Arial" w:cs="Arial"/>
          <w:spacing w:val="1"/>
          <w:sz w:val="22"/>
          <w:szCs w:val="22"/>
          <w:lang w:val="en-CA"/>
        </w:rPr>
        <w:t>t</w:t>
      </w:r>
      <w:r>
        <w:rPr>
          <w:rFonts w:ascii="Arial" w:eastAsiaTheme="minorHAnsi" w:hAnsi="Arial" w:cs="Arial"/>
          <w:spacing w:val="-3"/>
          <w:sz w:val="22"/>
          <w:szCs w:val="22"/>
          <w:lang w:val="en-CA"/>
        </w:rPr>
        <w:t>o</w:t>
      </w:r>
      <w:r>
        <w:rPr>
          <w:rFonts w:ascii="Arial" w:eastAsiaTheme="minorHAnsi" w:hAnsi="Arial" w:cs="Arial"/>
          <w:sz w:val="22"/>
          <w:szCs w:val="22"/>
          <w:lang w:val="en-CA"/>
        </w:rPr>
        <w:t xml:space="preserve">, </w:t>
      </w:r>
      <w:r>
        <w:rPr>
          <w:rFonts w:ascii="Arial" w:eastAsiaTheme="minorHAnsi" w:hAnsi="Arial" w:cs="Arial"/>
          <w:spacing w:val="1"/>
          <w:sz w:val="22"/>
          <w:szCs w:val="22"/>
          <w:lang w:val="en-CA"/>
        </w:rPr>
        <w:t>O</w:t>
      </w:r>
      <w:r>
        <w:rPr>
          <w:rFonts w:ascii="Arial" w:eastAsiaTheme="minorHAnsi" w:hAnsi="Arial" w:cs="Arial"/>
          <w:sz w:val="22"/>
          <w:szCs w:val="22"/>
          <w:lang w:val="en-CA"/>
        </w:rPr>
        <w:t xml:space="preserve">N </w:t>
      </w:r>
      <w:r>
        <w:rPr>
          <w:rFonts w:ascii="Arial" w:eastAsiaTheme="minorHAnsi" w:hAnsi="Arial" w:cs="Arial"/>
          <w:spacing w:val="-4"/>
          <w:sz w:val="22"/>
          <w:szCs w:val="22"/>
          <w:lang w:val="en-CA"/>
        </w:rPr>
        <w:t>M</w:t>
      </w:r>
      <w:r>
        <w:rPr>
          <w:rFonts w:ascii="Arial" w:eastAsiaTheme="minorHAnsi" w:hAnsi="Arial" w:cs="Arial"/>
          <w:sz w:val="22"/>
          <w:szCs w:val="22"/>
          <w:lang w:val="en-CA"/>
        </w:rPr>
        <w:t>4P 1</w:t>
      </w:r>
      <w:r>
        <w:rPr>
          <w:rFonts w:ascii="Arial" w:eastAsiaTheme="minorHAnsi" w:hAnsi="Arial" w:cs="Arial"/>
          <w:spacing w:val="-1"/>
          <w:sz w:val="22"/>
          <w:szCs w:val="22"/>
          <w:lang w:val="en-CA"/>
        </w:rPr>
        <w:t>E</w:t>
      </w:r>
      <w:r>
        <w:rPr>
          <w:rFonts w:ascii="Arial" w:eastAsiaTheme="minorHAnsi" w:hAnsi="Arial" w:cs="Arial"/>
          <w:sz w:val="22"/>
          <w:szCs w:val="22"/>
          <w:lang w:val="en-CA"/>
        </w:rPr>
        <w:t>4</w:t>
      </w:r>
    </w:p>
    <w:p w:rsidR="001E2437" w:rsidRDefault="001E2437" w:rsidP="001E2437"/>
    <w:p w:rsidR="003C6021" w:rsidRDefault="003C6021" w:rsidP="003C6021">
      <w:pPr>
        <w:autoSpaceDE w:val="0"/>
        <w:autoSpaceDN w:val="0"/>
        <w:adjustRightInd w:val="0"/>
        <w:spacing w:line="100" w:lineRule="exact"/>
        <w:rPr>
          <w:rFonts w:eastAsiaTheme="minorHAnsi"/>
          <w:sz w:val="10"/>
          <w:szCs w:val="10"/>
          <w:lang w:val="en-CA"/>
        </w:rPr>
      </w:pPr>
    </w:p>
    <w:p w:rsidR="003C6021" w:rsidRDefault="003C6021" w:rsidP="003C6021">
      <w:pPr>
        <w:autoSpaceDE w:val="0"/>
        <w:autoSpaceDN w:val="0"/>
        <w:adjustRightInd w:val="0"/>
        <w:spacing w:before="32"/>
        <w:ind w:left="70" w:right="-20"/>
        <w:rPr>
          <w:rFonts w:ascii="Arial" w:eastAsiaTheme="minorHAnsi" w:hAnsi="Arial" w:cs="Arial"/>
          <w:sz w:val="22"/>
          <w:szCs w:val="22"/>
          <w:lang w:val="en-CA"/>
        </w:rPr>
      </w:pPr>
      <w:r>
        <w:rPr>
          <w:rFonts w:ascii="Arial" w:eastAsiaTheme="minorHAnsi" w:hAnsi="Arial" w:cs="Arial"/>
          <w:b/>
          <w:bCs/>
          <w:spacing w:val="-1"/>
          <w:sz w:val="22"/>
          <w:szCs w:val="22"/>
          <w:lang w:val="en-CA"/>
        </w:rPr>
        <w:t>R</w:t>
      </w:r>
      <w:r>
        <w:rPr>
          <w:rFonts w:ascii="Arial" w:eastAsiaTheme="minorHAnsi" w:hAnsi="Arial" w:cs="Arial"/>
          <w:b/>
          <w:bCs/>
          <w:sz w:val="22"/>
          <w:szCs w:val="22"/>
          <w:lang w:val="en-CA"/>
        </w:rPr>
        <w:t>e:</w:t>
      </w:r>
      <w:r>
        <w:rPr>
          <w:rFonts w:ascii="Arial" w:eastAsiaTheme="minorHAnsi" w:hAnsi="Arial" w:cs="Arial"/>
          <w:b/>
          <w:bCs/>
          <w:spacing w:val="2"/>
          <w:sz w:val="22"/>
          <w:szCs w:val="22"/>
          <w:lang w:val="en-CA"/>
        </w:rPr>
        <w:t xml:space="preserve"> </w:t>
      </w:r>
      <w:r>
        <w:rPr>
          <w:rFonts w:ascii="Arial" w:eastAsiaTheme="minorHAnsi" w:hAnsi="Arial" w:cs="Arial"/>
          <w:b/>
          <w:bCs/>
          <w:spacing w:val="-1"/>
          <w:sz w:val="22"/>
          <w:szCs w:val="22"/>
          <w:lang w:val="en-CA"/>
        </w:rPr>
        <w:t>C</w:t>
      </w:r>
      <w:r>
        <w:rPr>
          <w:rFonts w:ascii="Arial" w:eastAsiaTheme="minorHAnsi" w:hAnsi="Arial" w:cs="Arial"/>
          <w:b/>
          <w:bCs/>
          <w:sz w:val="22"/>
          <w:szCs w:val="22"/>
          <w:lang w:val="en-CA"/>
        </w:rPr>
        <w:t>o</w:t>
      </w:r>
      <w:r>
        <w:rPr>
          <w:rFonts w:ascii="Arial" w:eastAsiaTheme="minorHAnsi" w:hAnsi="Arial" w:cs="Arial"/>
          <w:b/>
          <w:bCs/>
          <w:spacing w:val="-1"/>
          <w:sz w:val="22"/>
          <w:szCs w:val="22"/>
          <w:lang w:val="en-CA"/>
        </w:rPr>
        <w:t>s</w:t>
      </w:r>
      <w:r>
        <w:rPr>
          <w:rFonts w:ascii="Arial" w:eastAsiaTheme="minorHAnsi" w:hAnsi="Arial" w:cs="Arial"/>
          <w:b/>
          <w:bCs/>
          <w:sz w:val="22"/>
          <w:szCs w:val="22"/>
          <w:lang w:val="en-CA"/>
        </w:rPr>
        <w:t>t of</w:t>
      </w:r>
      <w:r>
        <w:rPr>
          <w:rFonts w:ascii="Arial" w:eastAsiaTheme="minorHAnsi" w:hAnsi="Arial" w:cs="Arial"/>
          <w:b/>
          <w:bCs/>
          <w:spacing w:val="-1"/>
          <w:sz w:val="22"/>
          <w:szCs w:val="22"/>
          <w:lang w:val="en-CA"/>
        </w:rPr>
        <w:t xml:space="preserve"> S</w:t>
      </w:r>
      <w:r>
        <w:rPr>
          <w:rFonts w:ascii="Arial" w:eastAsiaTheme="minorHAnsi" w:hAnsi="Arial" w:cs="Arial"/>
          <w:b/>
          <w:bCs/>
          <w:sz w:val="22"/>
          <w:szCs w:val="22"/>
          <w:lang w:val="en-CA"/>
        </w:rPr>
        <w:t>er</w:t>
      </w:r>
      <w:r>
        <w:rPr>
          <w:rFonts w:ascii="Arial" w:eastAsiaTheme="minorHAnsi" w:hAnsi="Arial" w:cs="Arial"/>
          <w:b/>
          <w:bCs/>
          <w:spacing w:val="-3"/>
          <w:sz w:val="22"/>
          <w:szCs w:val="22"/>
          <w:lang w:val="en-CA"/>
        </w:rPr>
        <w:t>v</w:t>
      </w:r>
      <w:r>
        <w:rPr>
          <w:rFonts w:ascii="Arial" w:eastAsiaTheme="minorHAnsi" w:hAnsi="Arial" w:cs="Arial"/>
          <w:b/>
          <w:bCs/>
          <w:spacing w:val="1"/>
          <w:sz w:val="22"/>
          <w:szCs w:val="22"/>
          <w:lang w:val="en-CA"/>
        </w:rPr>
        <w:t>i</w:t>
      </w:r>
      <w:r>
        <w:rPr>
          <w:rFonts w:ascii="Arial" w:eastAsiaTheme="minorHAnsi" w:hAnsi="Arial" w:cs="Arial"/>
          <w:b/>
          <w:bCs/>
          <w:sz w:val="22"/>
          <w:szCs w:val="22"/>
          <w:lang w:val="en-CA"/>
        </w:rPr>
        <w:t>ce</w:t>
      </w:r>
      <w:r>
        <w:rPr>
          <w:rFonts w:ascii="Arial" w:eastAsiaTheme="minorHAnsi" w:hAnsi="Arial" w:cs="Arial"/>
          <w:b/>
          <w:bCs/>
          <w:spacing w:val="3"/>
          <w:sz w:val="22"/>
          <w:szCs w:val="22"/>
          <w:lang w:val="en-CA"/>
        </w:rPr>
        <w:t xml:space="preserve"> </w:t>
      </w:r>
      <w:r>
        <w:rPr>
          <w:rFonts w:ascii="Arial" w:eastAsiaTheme="minorHAnsi" w:hAnsi="Arial" w:cs="Arial"/>
          <w:b/>
          <w:bCs/>
          <w:spacing w:val="-8"/>
          <w:sz w:val="22"/>
          <w:szCs w:val="22"/>
          <w:lang w:val="en-CA"/>
        </w:rPr>
        <w:t>A</w:t>
      </w:r>
      <w:r>
        <w:rPr>
          <w:rFonts w:ascii="Arial" w:eastAsiaTheme="minorHAnsi" w:hAnsi="Arial" w:cs="Arial"/>
          <w:b/>
          <w:bCs/>
          <w:spacing w:val="2"/>
          <w:sz w:val="22"/>
          <w:szCs w:val="22"/>
          <w:lang w:val="en-CA"/>
        </w:rPr>
        <w:t>p</w:t>
      </w:r>
      <w:r>
        <w:rPr>
          <w:rFonts w:ascii="Arial" w:eastAsiaTheme="minorHAnsi" w:hAnsi="Arial" w:cs="Arial"/>
          <w:b/>
          <w:bCs/>
          <w:sz w:val="22"/>
          <w:szCs w:val="22"/>
          <w:lang w:val="en-CA"/>
        </w:rPr>
        <w:t>pl</w:t>
      </w:r>
      <w:r>
        <w:rPr>
          <w:rFonts w:ascii="Arial" w:eastAsiaTheme="minorHAnsi" w:hAnsi="Arial" w:cs="Arial"/>
          <w:b/>
          <w:bCs/>
          <w:spacing w:val="1"/>
          <w:sz w:val="22"/>
          <w:szCs w:val="22"/>
          <w:lang w:val="en-CA"/>
        </w:rPr>
        <w:t>i</w:t>
      </w:r>
      <w:r>
        <w:rPr>
          <w:rFonts w:ascii="Arial" w:eastAsiaTheme="minorHAnsi" w:hAnsi="Arial" w:cs="Arial"/>
          <w:b/>
          <w:bCs/>
          <w:sz w:val="22"/>
          <w:szCs w:val="22"/>
          <w:lang w:val="en-CA"/>
        </w:rPr>
        <w:t>c</w:t>
      </w:r>
      <w:r>
        <w:rPr>
          <w:rFonts w:ascii="Arial" w:eastAsiaTheme="minorHAnsi" w:hAnsi="Arial" w:cs="Arial"/>
          <w:b/>
          <w:bCs/>
          <w:spacing w:val="-3"/>
          <w:sz w:val="22"/>
          <w:szCs w:val="22"/>
          <w:lang w:val="en-CA"/>
        </w:rPr>
        <w:t>a</w:t>
      </w:r>
      <w:r>
        <w:rPr>
          <w:rFonts w:ascii="Arial" w:eastAsiaTheme="minorHAnsi" w:hAnsi="Arial" w:cs="Arial"/>
          <w:b/>
          <w:bCs/>
          <w:spacing w:val="1"/>
          <w:sz w:val="22"/>
          <w:szCs w:val="22"/>
          <w:lang w:val="en-CA"/>
        </w:rPr>
        <w:t>ti</w:t>
      </w:r>
      <w:r>
        <w:rPr>
          <w:rFonts w:ascii="Arial" w:eastAsiaTheme="minorHAnsi" w:hAnsi="Arial" w:cs="Arial"/>
          <w:b/>
          <w:bCs/>
          <w:sz w:val="22"/>
          <w:szCs w:val="22"/>
          <w:lang w:val="en-CA"/>
        </w:rPr>
        <w:t xml:space="preserve">on </w:t>
      </w:r>
      <w:r>
        <w:rPr>
          <w:rFonts w:ascii="Arial" w:eastAsiaTheme="minorHAnsi" w:hAnsi="Arial" w:cs="Arial"/>
          <w:b/>
          <w:bCs/>
          <w:spacing w:val="-1"/>
          <w:sz w:val="22"/>
          <w:szCs w:val="22"/>
          <w:lang w:val="en-CA"/>
        </w:rPr>
        <w:t>EB</w:t>
      </w:r>
      <w:r>
        <w:rPr>
          <w:rFonts w:ascii="Arial" w:eastAsiaTheme="minorHAnsi" w:hAnsi="Arial" w:cs="Arial"/>
          <w:b/>
          <w:bCs/>
          <w:spacing w:val="1"/>
          <w:sz w:val="22"/>
          <w:szCs w:val="22"/>
          <w:lang w:val="en-CA"/>
        </w:rPr>
        <w:t>-</w:t>
      </w:r>
      <w:r>
        <w:rPr>
          <w:rFonts w:ascii="Arial" w:eastAsiaTheme="minorHAnsi" w:hAnsi="Arial" w:cs="Arial"/>
          <w:b/>
          <w:bCs/>
          <w:sz w:val="22"/>
          <w:szCs w:val="22"/>
          <w:lang w:val="en-CA"/>
        </w:rPr>
        <w:t>201</w:t>
      </w:r>
      <w:r>
        <w:rPr>
          <w:rFonts w:ascii="Arial" w:eastAsiaTheme="minorHAnsi" w:hAnsi="Arial" w:cs="Arial"/>
          <w:b/>
          <w:bCs/>
          <w:spacing w:val="-2"/>
          <w:sz w:val="22"/>
          <w:szCs w:val="22"/>
          <w:lang w:val="en-CA"/>
        </w:rPr>
        <w:t>2</w:t>
      </w:r>
      <w:r>
        <w:rPr>
          <w:rFonts w:ascii="Arial" w:eastAsiaTheme="minorHAnsi" w:hAnsi="Arial" w:cs="Arial"/>
          <w:b/>
          <w:bCs/>
          <w:spacing w:val="1"/>
          <w:sz w:val="22"/>
          <w:szCs w:val="22"/>
          <w:lang w:val="en-CA"/>
        </w:rPr>
        <w:t>-</w:t>
      </w:r>
      <w:r>
        <w:rPr>
          <w:rFonts w:ascii="Arial" w:eastAsiaTheme="minorHAnsi" w:hAnsi="Arial" w:cs="Arial"/>
          <w:b/>
          <w:bCs/>
          <w:sz w:val="22"/>
          <w:szCs w:val="22"/>
          <w:lang w:val="en-CA"/>
        </w:rPr>
        <w:t>0</w:t>
      </w:r>
      <w:r>
        <w:rPr>
          <w:rFonts w:ascii="Arial" w:eastAsiaTheme="minorHAnsi" w:hAnsi="Arial" w:cs="Arial"/>
          <w:b/>
          <w:bCs/>
          <w:spacing w:val="-1"/>
          <w:sz w:val="22"/>
          <w:szCs w:val="22"/>
          <w:lang w:val="en-CA"/>
        </w:rPr>
        <w:t>1</w:t>
      </w:r>
      <w:r>
        <w:rPr>
          <w:rFonts w:ascii="Arial" w:eastAsiaTheme="minorHAnsi" w:hAnsi="Arial" w:cs="Arial"/>
          <w:b/>
          <w:bCs/>
          <w:spacing w:val="-3"/>
          <w:sz w:val="22"/>
          <w:szCs w:val="22"/>
          <w:lang w:val="en-CA"/>
        </w:rPr>
        <w:t>5</w:t>
      </w:r>
      <w:r>
        <w:rPr>
          <w:rFonts w:ascii="Arial" w:eastAsiaTheme="minorHAnsi" w:hAnsi="Arial" w:cs="Arial"/>
          <w:b/>
          <w:bCs/>
          <w:sz w:val="22"/>
          <w:szCs w:val="22"/>
          <w:lang w:val="en-CA"/>
        </w:rPr>
        <w:t>3</w:t>
      </w:r>
    </w:p>
    <w:p w:rsidR="001E2437" w:rsidRPr="006E7AC3" w:rsidRDefault="001E2437" w:rsidP="001E2437">
      <w:pPr>
        <w:jc w:val="center"/>
        <w:rPr>
          <w:sz w:val="22"/>
          <w:szCs w:val="22"/>
        </w:rPr>
      </w:pPr>
    </w:p>
    <w:p w:rsidR="006E7AC3" w:rsidRDefault="001E2437" w:rsidP="001E2437">
      <w:pPr>
        <w:rPr>
          <w:sz w:val="22"/>
          <w:szCs w:val="22"/>
        </w:rPr>
      </w:pPr>
      <w:r w:rsidRPr="006E7AC3">
        <w:rPr>
          <w:sz w:val="22"/>
          <w:szCs w:val="22"/>
        </w:rPr>
        <w:t>In the course of a regulatory audit conducted by the</w:t>
      </w:r>
      <w:r w:rsidR="006E7AC3">
        <w:rPr>
          <w:sz w:val="22"/>
          <w:szCs w:val="22"/>
        </w:rPr>
        <w:t xml:space="preserve"> Regulatory Audit and Accounting division of the</w:t>
      </w:r>
      <w:r w:rsidRPr="006E7AC3">
        <w:rPr>
          <w:sz w:val="22"/>
          <w:szCs w:val="22"/>
        </w:rPr>
        <w:t xml:space="preserve"> OEB</w:t>
      </w:r>
      <w:r w:rsidR="006E7AC3">
        <w:rPr>
          <w:sz w:val="22"/>
          <w:szCs w:val="22"/>
        </w:rPr>
        <w:t xml:space="preserve"> with respect to deferral and variance accounts</w:t>
      </w:r>
      <w:r w:rsidRPr="006E7AC3">
        <w:rPr>
          <w:sz w:val="22"/>
          <w:szCs w:val="22"/>
        </w:rPr>
        <w:t xml:space="preserve"> a billing error was discovered pertaining t</w:t>
      </w:r>
      <w:r w:rsidR="006E7AC3">
        <w:rPr>
          <w:sz w:val="22"/>
          <w:szCs w:val="22"/>
        </w:rPr>
        <w:t>o Non-RPP Rate Rider Global Adjustment.</w:t>
      </w:r>
      <w:r w:rsidRPr="006E7AC3">
        <w:rPr>
          <w:sz w:val="22"/>
          <w:szCs w:val="22"/>
        </w:rPr>
        <w:t xml:space="preserve"> </w:t>
      </w:r>
    </w:p>
    <w:p w:rsidR="006E7AC3" w:rsidRDefault="006E7AC3" w:rsidP="001E2437">
      <w:pPr>
        <w:rPr>
          <w:sz w:val="22"/>
          <w:szCs w:val="22"/>
        </w:rPr>
      </w:pPr>
    </w:p>
    <w:p w:rsidR="006E7AC3" w:rsidRDefault="006E7AC3" w:rsidP="001E2437">
      <w:pPr>
        <w:rPr>
          <w:sz w:val="22"/>
          <w:szCs w:val="22"/>
        </w:rPr>
      </w:pPr>
      <w:r>
        <w:rPr>
          <w:sz w:val="22"/>
          <w:szCs w:val="22"/>
        </w:rPr>
        <w:t xml:space="preserve">The nature of the error is that NOW was billing the Global Adjustment rate rider for the non-RPP customers incorrectly by applying the rate rider to the kWh grossed up by the loss factor. The </w:t>
      </w:r>
      <w:r w:rsidR="006273A2">
        <w:rPr>
          <w:sz w:val="22"/>
          <w:szCs w:val="22"/>
        </w:rPr>
        <w:t>billings for all other classes of customers are</w:t>
      </w:r>
      <w:r>
        <w:rPr>
          <w:sz w:val="22"/>
          <w:szCs w:val="22"/>
        </w:rPr>
        <w:t xml:space="preserve"> correct as the error is specific to non-RPP customers on the Global Adjustment</w:t>
      </w:r>
      <w:r w:rsidR="00F715E7">
        <w:rPr>
          <w:sz w:val="22"/>
          <w:szCs w:val="22"/>
        </w:rPr>
        <w:t xml:space="preserve"> as part of delivery charges</w:t>
      </w:r>
      <w:r>
        <w:rPr>
          <w:sz w:val="22"/>
          <w:szCs w:val="22"/>
        </w:rPr>
        <w:t>.</w:t>
      </w:r>
    </w:p>
    <w:p w:rsidR="006E7AC3" w:rsidRDefault="006E7AC3" w:rsidP="001E2437">
      <w:pPr>
        <w:rPr>
          <w:sz w:val="22"/>
          <w:szCs w:val="22"/>
        </w:rPr>
      </w:pPr>
    </w:p>
    <w:p w:rsidR="006273A2" w:rsidRDefault="006E7AC3" w:rsidP="001E2437">
      <w:pPr>
        <w:rPr>
          <w:sz w:val="22"/>
          <w:szCs w:val="22"/>
        </w:rPr>
      </w:pPr>
      <w:r>
        <w:rPr>
          <w:sz w:val="22"/>
          <w:szCs w:val="22"/>
        </w:rPr>
        <w:t>The error occurred beginning on</w:t>
      </w:r>
      <w:r w:rsidR="001E2437" w:rsidRPr="006E7AC3">
        <w:rPr>
          <w:sz w:val="22"/>
          <w:szCs w:val="22"/>
        </w:rPr>
        <w:t xml:space="preserve"> May 1, 2011</w:t>
      </w:r>
      <w:r>
        <w:rPr>
          <w:sz w:val="22"/>
          <w:szCs w:val="22"/>
        </w:rPr>
        <w:t xml:space="preserve"> rates which resulted in an over-billing to select customers until April 30, 2012</w:t>
      </w:r>
      <w:r w:rsidR="001E2437" w:rsidRPr="006E7AC3">
        <w:rPr>
          <w:sz w:val="22"/>
          <w:szCs w:val="22"/>
        </w:rPr>
        <w:t>.</w:t>
      </w:r>
      <w:r>
        <w:rPr>
          <w:sz w:val="22"/>
          <w:szCs w:val="22"/>
        </w:rPr>
        <w:t xml:space="preserve"> Effective May 1, 2012 the error resulted in an under-billing to select customers until the error was identified and corrected in March 2013</w:t>
      </w:r>
      <w:r w:rsidR="00F7479C">
        <w:rPr>
          <w:sz w:val="22"/>
          <w:szCs w:val="22"/>
        </w:rPr>
        <w:t xml:space="preserve"> in the billing system. The correction will be reflected on customer statements issued April 1, 2013 in the next billing cycle.</w:t>
      </w:r>
    </w:p>
    <w:p w:rsidR="006273A2" w:rsidRDefault="006273A2" w:rsidP="001E2437">
      <w:pPr>
        <w:rPr>
          <w:sz w:val="22"/>
          <w:szCs w:val="22"/>
        </w:rPr>
      </w:pPr>
    </w:p>
    <w:p w:rsidR="006273A2" w:rsidRDefault="006273A2" w:rsidP="001E2437">
      <w:pPr>
        <w:rPr>
          <w:sz w:val="22"/>
          <w:szCs w:val="22"/>
        </w:rPr>
      </w:pPr>
      <w:r>
        <w:rPr>
          <w:sz w:val="22"/>
          <w:szCs w:val="22"/>
        </w:rPr>
        <w:t>Based on preliminary analysis of the error, an estimated overbilling for the period of May 1, 2011 to December 31, 2012 resulted in the following total variance for all affected non-RPP customers.</w:t>
      </w:r>
    </w:p>
    <w:p w:rsidR="006273A2" w:rsidRDefault="006273A2" w:rsidP="001E2437">
      <w:pPr>
        <w:rPr>
          <w:sz w:val="22"/>
          <w:szCs w:val="22"/>
        </w:rPr>
      </w:pPr>
    </w:p>
    <w:p w:rsidR="006273A2" w:rsidRDefault="006273A2" w:rsidP="001E2437">
      <w:pPr>
        <w:rPr>
          <w:sz w:val="22"/>
          <w:szCs w:val="22"/>
        </w:rPr>
      </w:pPr>
      <w:r>
        <w:rPr>
          <w:sz w:val="22"/>
          <w:szCs w:val="22"/>
        </w:rPr>
        <w:tab/>
        <w:t>Residential -</w:t>
      </w:r>
      <w:r w:rsidR="000E4FF9">
        <w:rPr>
          <w:sz w:val="22"/>
          <w:szCs w:val="22"/>
        </w:rPr>
        <w:tab/>
      </w:r>
      <w:proofErr w:type="gramStart"/>
      <w:r>
        <w:rPr>
          <w:sz w:val="22"/>
          <w:szCs w:val="22"/>
        </w:rPr>
        <w:t>$</w:t>
      </w:r>
      <w:r w:rsidR="000E4FF9">
        <w:rPr>
          <w:sz w:val="22"/>
          <w:szCs w:val="22"/>
        </w:rPr>
        <w:t xml:space="preserve">  </w:t>
      </w:r>
      <w:r>
        <w:rPr>
          <w:sz w:val="22"/>
          <w:szCs w:val="22"/>
        </w:rPr>
        <w:t>23.75</w:t>
      </w:r>
      <w:proofErr w:type="gramEnd"/>
      <w:r>
        <w:rPr>
          <w:sz w:val="22"/>
          <w:szCs w:val="22"/>
        </w:rPr>
        <w:t>, for May 1, 2011 to December 31, 2012</w:t>
      </w:r>
    </w:p>
    <w:p w:rsidR="006273A2" w:rsidRDefault="006273A2" w:rsidP="001E2437">
      <w:pPr>
        <w:rPr>
          <w:sz w:val="22"/>
          <w:szCs w:val="22"/>
        </w:rPr>
      </w:pPr>
      <w:r>
        <w:rPr>
          <w:sz w:val="22"/>
          <w:szCs w:val="22"/>
        </w:rPr>
        <w:tab/>
        <w:t xml:space="preserve">GS&lt;50 - </w:t>
      </w:r>
      <w:r w:rsidR="000E4FF9">
        <w:rPr>
          <w:sz w:val="22"/>
          <w:szCs w:val="22"/>
        </w:rPr>
        <w:tab/>
      </w:r>
      <w:r>
        <w:rPr>
          <w:sz w:val="22"/>
          <w:szCs w:val="22"/>
        </w:rPr>
        <w:t>$476.43, for May 1, 2011 to December 31, 2012</w:t>
      </w:r>
    </w:p>
    <w:p w:rsidR="006273A2" w:rsidRDefault="006273A2" w:rsidP="001E2437">
      <w:pPr>
        <w:rPr>
          <w:sz w:val="22"/>
          <w:szCs w:val="22"/>
        </w:rPr>
      </w:pPr>
      <w:r>
        <w:rPr>
          <w:sz w:val="22"/>
          <w:szCs w:val="22"/>
        </w:rPr>
        <w:tab/>
        <w:t xml:space="preserve">GS&gt;50 - </w:t>
      </w:r>
      <w:r w:rsidR="000E4FF9">
        <w:rPr>
          <w:sz w:val="22"/>
          <w:szCs w:val="22"/>
        </w:rPr>
        <w:tab/>
      </w:r>
      <w:r>
        <w:rPr>
          <w:sz w:val="22"/>
          <w:szCs w:val="22"/>
        </w:rPr>
        <w:t>$</w:t>
      </w:r>
      <w:r w:rsidR="000E4FF9">
        <w:rPr>
          <w:sz w:val="22"/>
          <w:szCs w:val="22"/>
        </w:rPr>
        <w:t xml:space="preserve">    </w:t>
      </w:r>
      <w:r>
        <w:rPr>
          <w:sz w:val="22"/>
          <w:szCs w:val="22"/>
        </w:rPr>
        <w:t>0.00, for May 1, 2011 to December 31, 2012</w:t>
      </w:r>
    </w:p>
    <w:p w:rsidR="006273A2" w:rsidRDefault="006273A2" w:rsidP="001E2437">
      <w:pPr>
        <w:rPr>
          <w:sz w:val="22"/>
          <w:szCs w:val="22"/>
        </w:rPr>
      </w:pPr>
      <w:r>
        <w:rPr>
          <w:sz w:val="22"/>
          <w:szCs w:val="22"/>
        </w:rPr>
        <w:tab/>
        <w:t xml:space="preserve">Unmetered - </w:t>
      </w:r>
      <w:r w:rsidR="000E4FF9">
        <w:rPr>
          <w:sz w:val="22"/>
          <w:szCs w:val="22"/>
        </w:rPr>
        <w:tab/>
      </w:r>
      <w:r>
        <w:rPr>
          <w:sz w:val="22"/>
          <w:szCs w:val="22"/>
        </w:rPr>
        <w:t>$</w:t>
      </w:r>
      <w:r w:rsidR="000E4FF9">
        <w:rPr>
          <w:sz w:val="22"/>
          <w:szCs w:val="22"/>
        </w:rPr>
        <w:t xml:space="preserve">    </w:t>
      </w:r>
      <w:r>
        <w:rPr>
          <w:sz w:val="22"/>
          <w:szCs w:val="22"/>
        </w:rPr>
        <w:t>0.18, for May 1, 2011 to December 31, 2012</w:t>
      </w:r>
    </w:p>
    <w:p w:rsidR="006273A2" w:rsidRDefault="006273A2" w:rsidP="001E2437">
      <w:pPr>
        <w:rPr>
          <w:sz w:val="22"/>
          <w:szCs w:val="22"/>
        </w:rPr>
      </w:pPr>
      <w:r>
        <w:rPr>
          <w:sz w:val="22"/>
          <w:szCs w:val="22"/>
        </w:rPr>
        <w:tab/>
        <w:t xml:space="preserve">Street lighting - </w:t>
      </w:r>
      <w:r w:rsidR="000E4FF9">
        <w:rPr>
          <w:sz w:val="22"/>
          <w:szCs w:val="22"/>
        </w:rPr>
        <w:tab/>
      </w:r>
      <w:r>
        <w:rPr>
          <w:sz w:val="22"/>
          <w:szCs w:val="22"/>
        </w:rPr>
        <w:t>$</w:t>
      </w:r>
      <w:r w:rsidR="000E4FF9">
        <w:rPr>
          <w:sz w:val="22"/>
          <w:szCs w:val="22"/>
        </w:rPr>
        <w:t xml:space="preserve">    </w:t>
      </w:r>
      <w:r>
        <w:rPr>
          <w:sz w:val="22"/>
          <w:szCs w:val="22"/>
        </w:rPr>
        <w:t>0.00, for May 1, 2011 to December 31, 2012</w:t>
      </w:r>
    </w:p>
    <w:p w:rsidR="000E4FF9" w:rsidRDefault="000E4FF9" w:rsidP="001E2437">
      <w:pPr>
        <w:rPr>
          <w:sz w:val="22"/>
          <w:szCs w:val="22"/>
        </w:rPr>
      </w:pPr>
      <w:r>
        <w:rPr>
          <w:sz w:val="22"/>
          <w:szCs w:val="22"/>
        </w:rPr>
        <w:tab/>
      </w:r>
      <w:r>
        <w:rPr>
          <w:sz w:val="22"/>
          <w:szCs w:val="22"/>
        </w:rPr>
        <w:tab/>
      </w:r>
      <w:r>
        <w:rPr>
          <w:sz w:val="22"/>
          <w:szCs w:val="22"/>
        </w:rPr>
        <w:tab/>
        <w:t>-----------</w:t>
      </w:r>
    </w:p>
    <w:p w:rsidR="000E4FF9" w:rsidRPr="000E4FF9" w:rsidRDefault="000E4FF9" w:rsidP="000E4FF9">
      <w:pPr>
        <w:ind w:firstLine="720"/>
        <w:rPr>
          <w:b/>
          <w:sz w:val="22"/>
          <w:szCs w:val="22"/>
        </w:rPr>
      </w:pPr>
      <w:r>
        <w:rPr>
          <w:b/>
          <w:sz w:val="22"/>
          <w:szCs w:val="22"/>
        </w:rPr>
        <w:t>Total Error</w:t>
      </w:r>
      <w:r>
        <w:rPr>
          <w:b/>
          <w:sz w:val="22"/>
          <w:szCs w:val="22"/>
        </w:rPr>
        <w:tab/>
      </w:r>
      <w:r w:rsidRPr="000E4FF9">
        <w:rPr>
          <w:b/>
          <w:sz w:val="22"/>
          <w:szCs w:val="22"/>
        </w:rPr>
        <w:t>$500.00</w:t>
      </w:r>
      <w:r w:rsidR="00F7479C">
        <w:rPr>
          <w:b/>
          <w:sz w:val="22"/>
          <w:szCs w:val="22"/>
        </w:rPr>
        <w:t xml:space="preserve"> for all Non-RPP Customers</w:t>
      </w:r>
    </w:p>
    <w:p w:rsidR="006273A2" w:rsidRDefault="006273A2" w:rsidP="001E2437">
      <w:pPr>
        <w:rPr>
          <w:sz w:val="22"/>
          <w:szCs w:val="22"/>
        </w:rPr>
      </w:pPr>
    </w:p>
    <w:p w:rsidR="00CE742E" w:rsidRDefault="000E4FF9" w:rsidP="001E2437">
      <w:pPr>
        <w:rPr>
          <w:sz w:val="22"/>
          <w:szCs w:val="22"/>
        </w:rPr>
      </w:pPr>
      <w:r>
        <w:rPr>
          <w:sz w:val="22"/>
          <w:szCs w:val="22"/>
        </w:rPr>
        <w:lastRenderedPageBreak/>
        <w:t>T</w:t>
      </w:r>
      <w:r w:rsidR="006273A2">
        <w:rPr>
          <w:sz w:val="22"/>
          <w:szCs w:val="22"/>
        </w:rPr>
        <w:t>he</w:t>
      </w:r>
      <w:r>
        <w:rPr>
          <w:sz w:val="22"/>
          <w:szCs w:val="22"/>
        </w:rPr>
        <w:t xml:space="preserve"> estimate was calculated using the</w:t>
      </w:r>
      <w:r w:rsidR="006273A2">
        <w:rPr>
          <w:sz w:val="22"/>
          <w:szCs w:val="22"/>
        </w:rPr>
        <w:t xml:space="preserve"> variance between the 2011 and 2012 rate riders, the </w:t>
      </w:r>
      <w:r>
        <w:rPr>
          <w:sz w:val="22"/>
          <w:szCs w:val="22"/>
        </w:rPr>
        <w:t xml:space="preserve">difference between </w:t>
      </w:r>
      <w:r w:rsidR="006273A2">
        <w:rPr>
          <w:sz w:val="22"/>
          <w:szCs w:val="22"/>
        </w:rPr>
        <w:t xml:space="preserve">the uplifted versus actual consumption for May 1, 2011 to December 31, 2012, and the percentage of customers that are non-RPP. </w:t>
      </w:r>
      <w:r>
        <w:rPr>
          <w:sz w:val="22"/>
          <w:szCs w:val="22"/>
        </w:rPr>
        <w:t>The number of customers affected is approximately 546-660.</w:t>
      </w:r>
      <w:r w:rsidR="006273A2">
        <w:rPr>
          <w:sz w:val="22"/>
          <w:szCs w:val="22"/>
        </w:rPr>
        <w:t xml:space="preserve"> </w:t>
      </w:r>
      <w:r>
        <w:rPr>
          <w:sz w:val="22"/>
          <w:szCs w:val="22"/>
        </w:rPr>
        <w:t>Of the affected customers, 79.3% are residential, 16.8% are GS&lt;50, 3.1% are GS&gt;50, 0.2% are Unmetered, and 0.6% are Street lighting.</w:t>
      </w:r>
      <w:r w:rsidR="00CE742E">
        <w:rPr>
          <w:sz w:val="22"/>
          <w:szCs w:val="22"/>
        </w:rPr>
        <w:t xml:space="preserve"> </w:t>
      </w:r>
    </w:p>
    <w:p w:rsidR="00CE742E" w:rsidRDefault="00CE742E" w:rsidP="001E2437">
      <w:pPr>
        <w:rPr>
          <w:sz w:val="22"/>
          <w:szCs w:val="22"/>
        </w:rPr>
      </w:pPr>
    </w:p>
    <w:p w:rsidR="00CE742E" w:rsidRDefault="00CE742E" w:rsidP="001E2437">
      <w:pPr>
        <w:rPr>
          <w:sz w:val="22"/>
          <w:szCs w:val="22"/>
        </w:rPr>
      </w:pPr>
      <w:r>
        <w:rPr>
          <w:sz w:val="22"/>
          <w:szCs w:val="22"/>
        </w:rPr>
        <w:t xml:space="preserve">There is no impact to the GS&lt;50 and </w:t>
      </w:r>
      <w:r w:rsidR="001371B6">
        <w:rPr>
          <w:sz w:val="22"/>
          <w:szCs w:val="22"/>
        </w:rPr>
        <w:t>Street lighting</w:t>
      </w:r>
      <w:r>
        <w:rPr>
          <w:sz w:val="22"/>
          <w:szCs w:val="22"/>
        </w:rPr>
        <w:t xml:space="preserve"> classes as the correct consumption was used when calculating the Global Adjustment rate riders.</w:t>
      </w:r>
    </w:p>
    <w:p w:rsidR="00CE742E" w:rsidRDefault="00CE742E" w:rsidP="001E2437">
      <w:pPr>
        <w:rPr>
          <w:sz w:val="22"/>
          <w:szCs w:val="22"/>
        </w:rPr>
      </w:pPr>
    </w:p>
    <w:p w:rsidR="006273A2" w:rsidRDefault="00CE742E" w:rsidP="001E2437">
      <w:pPr>
        <w:rPr>
          <w:sz w:val="22"/>
          <w:szCs w:val="22"/>
        </w:rPr>
      </w:pPr>
      <w:r>
        <w:rPr>
          <w:sz w:val="22"/>
          <w:szCs w:val="22"/>
        </w:rPr>
        <w:t>Regulatory Audit has not audited or reviewed the accuracy of NOW’s calculation that estimates impact of the billing error on customers.</w:t>
      </w:r>
    </w:p>
    <w:p w:rsidR="00F7479C" w:rsidRDefault="00F7479C" w:rsidP="001E2437">
      <w:pPr>
        <w:rPr>
          <w:sz w:val="22"/>
          <w:szCs w:val="22"/>
        </w:rPr>
      </w:pPr>
    </w:p>
    <w:p w:rsidR="006273A2" w:rsidRDefault="00F7479C" w:rsidP="001E2437">
      <w:pPr>
        <w:rPr>
          <w:sz w:val="22"/>
          <w:szCs w:val="22"/>
        </w:rPr>
      </w:pPr>
      <w:r>
        <w:rPr>
          <w:sz w:val="22"/>
          <w:szCs w:val="22"/>
        </w:rPr>
        <w:t>Northern Ontario Wires Inc. is of the opinion that the resulting billing error is not material. NOW plans to notify affected customers by way of bill insert in the upcoming bill cycle. The insert will state that a non-material billing error has been corrected.</w:t>
      </w:r>
    </w:p>
    <w:p w:rsidR="000E4FF9" w:rsidRDefault="000E4FF9" w:rsidP="001E2437">
      <w:pPr>
        <w:rPr>
          <w:sz w:val="22"/>
          <w:szCs w:val="22"/>
        </w:rPr>
      </w:pPr>
    </w:p>
    <w:p w:rsidR="00930B4F" w:rsidRDefault="00685472" w:rsidP="001E2437">
      <w:pPr>
        <w:rPr>
          <w:sz w:val="22"/>
          <w:szCs w:val="22"/>
        </w:rPr>
      </w:pPr>
      <w:r>
        <w:rPr>
          <w:sz w:val="22"/>
          <w:szCs w:val="22"/>
        </w:rPr>
        <w:t>NOW have been working with Regulatory Audit to address this issue and are taking actions that are in compliance with Section 7.7 of the Retail Settlement Code.</w:t>
      </w:r>
      <w:r w:rsidR="00CE742E">
        <w:rPr>
          <w:sz w:val="22"/>
          <w:szCs w:val="22"/>
        </w:rPr>
        <w:t xml:space="preserve"> As NOW is of the opinion that the error is not significant and the cost outweighs the benefit of making a billing adjustment. As the adjustment would be approximately $0.05 </w:t>
      </w:r>
      <w:r w:rsidR="00125888">
        <w:rPr>
          <w:sz w:val="22"/>
          <w:szCs w:val="22"/>
        </w:rPr>
        <w:t xml:space="preserve">total </w:t>
      </w:r>
      <w:r w:rsidR="00CE742E">
        <w:rPr>
          <w:sz w:val="22"/>
          <w:szCs w:val="22"/>
        </w:rPr>
        <w:t xml:space="preserve">per residential non-RPP customer NOW believes that the cost outweighs the benefit of providing notice to this customer class. The estimated impact to GS&lt;50 class is $5.18 </w:t>
      </w:r>
      <w:r w:rsidR="00125888">
        <w:rPr>
          <w:sz w:val="22"/>
          <w:szCs w:val="22"/>
        </w:rPr>
        <w:t xml:space="preserve">total </w:t>
      </w:r>
      <w:r w:rsidR="00CE742E">
        <w:rPr>
          <w:sz w:val="22"/>
          <w:szCs w:val="22"/>
        </w:rPr>
        <w:t xml:space="preserve">per customer. These per customer errors assume that </w:t>
      </w:r>
      <w:r w:rsidR="00930B4F">
        <w:rPr>
          <w:sz w:val="22"/>
          <w:szCs w:val="22"/>
        </w:rPr>
        <w:t>all affected customers had the equal consumption.</w:t>
      </w:r>
      <w:r w:rsidR="00CE742E">
        <w:rPr>
          <w:sz w:val="22"/>
          <w:szCs w:val="22"/>
        </w:rPr>
        <w:t xml:space="preserve"> </w:t>
      </w:r>
    </w:p>
    <w:p w:rsidR="00930B4F" w:rsidRDefault="00930B4F" w:rsidP="001E2437">
      <w:pPr>
        <w:rPr>
          <w:sz w:val="22"/>
          <w:szCs w:val="22"/>
        </w:rPr>
      </w:pPr>
    </w:p>
    <w:p w:rsidR="001E2437" w:rsidRDefault="00CE742E" w:rsidP="001E2437">
      <w:pPr>
        <w:rPr>
          <w:sz w:val="22"/>
          <w:szCs w:val="22"/>
        </w:rPr>
      </w:pPr>
      <w:r>
        <w:rPr>
          <w:sz w:val="22"/>
          <w:szCs w:val="22"/>
        </w:rPr>
        <w:t xml:space="preserve">NOW requests that the Board provide guidance as to what actions </w:t>
      </w:r>
      <w:proofErr w:type="gramStart"/>
      <w:r>
        <w:rPr>
          <w:sz w:val="22"/>
          <w:szCs w:val="22"/>
        </w:rPr>
        <w:t>be</w:t>
      </w:r>
      <w:proofErr w:type="gramEnd"/>
      <w:r>
        <w:rPr>
          <w:sz w:val="22"/>
          <w:szCs w:val="22"/>
        </w:rPr>
        <w:t xml:space="preserve"> taken </w:t>
      </w:r>
      <w:r w:rsidR="00930B4F">
        <w:rPr>
          <w:sz w:val="22"/>
          <w:szCs w:val="22"/>
        </w:rPr>
        <w:t>in regards to</w:t>
      </w:r>
      <w:r w:rsidR="00A918A5">
        <w:rPr>
          <w:sz w:val="22"/>
          <w:szCs w:val="22"/>
        </w:rPr>
        <w:t xml:space="preserve"> the</w:t>
      </w:r>
      <w:r w:rsidR="00930B4F">
        <w:rPr>
          <w:sz w:val="22"/>
          <w:szCs w:val="22"/>
        </w:rPr>
        <w:t xml:space="preserve"> error and </w:t>
      </w:r>
      <w:r>
        <w:rPr>
          <w:sz w:val="22"/>
          <w:szCs w:val="22"/>
        </w:rPr>
        <w:t>notif</w:t>
      </w:r>
      <w:r w:rsidR="00930B4F">
        <w:rPr>
          <w:sz w:val="22"/>
          <w:szCs w:val="22"/>
        </w:rPr>
        <w:t>ication to</w:t>
      </w:r>
      <w:r>
        <w:rPr>
          <w:sz w:val="22"/>
          <w:szCs w:val="22"/>
        </w:rPr>
        <w:t xml:space="preserve"> customers.</w:t>
      </w:r>
    </w:p>
    <w:p w:rsidR="00125888" w:rsidRDefault="00125888" w:rsidP="001E2437">
      <w:pPr>
        <w:rPr>
          <w:sz w:val="22"/>
          <w:szCs w:val="22"/>
        </w:rPr>
      </w:pPr>
    </w:p>
    <w:p w:rsidR="00125888" w:rsidRDefault="00125888" w:rsidP="001E2437">
      <w:pPr>
        <w:rPr>
          <w:sz w:val="22"/>
          <w:szCs w:val="22"/>
        </w:rPr>
      </w:pPr>
      <w:r>
        <w:rPr>
          <w:sz w:val="22"/>
          <w:szCs w:val="22"/>
        </w:rPr>
        <w:t>Please not</w:t>
      </w:r>
      <w:r w:rsidR="008D5FFA">
        <w:rPr>
          <w:sz w:val="22"/>
          <w:szCs w:val="22"/>
        </w:rPr>
        <w:t>e</w:t>
      </w:r>
      <w:r>
        <w:rPr>
          <w:sz w:val="22"/>
          <w:szCs w:val="22"/>
        </w:rPr>
        <w:t xml:space="preserve"> the amount of the overbilling will be disposed in account 1595 for amounts up to December 31, 2011 and the remaining variance from January 1, 2012 to March 2013 will be disposed of in a future proceeding.</w:t>
      </w:r>
    </w:p>
    <w:p w:rsidR="008D5FFA" w:rsidRDefault="008D5FFA" w:rsidP="001E2437">
      <w:pPr>
        <w:rPr>
          <w:sz w:val="22"/>
          <w:szCs w:val="22"/>
        </w:rPr>
      </w:pPr>
    </w:p>
    <w:p w:rsidR="008D5FFA" w:rsidRDefault="008D5FFA" w:rsidP="008D5FFA">
      <w:pPr>
        <w:rPr>
          <w:sz w:val="22"/>
          <w:szCs w:val="22"/>
        </w:rPr>
      </w:pPr>
      <w:r>
        <w:rPr>
          <w:sz w:val="22"/>
          <w:szCs w:val="22"/>
        </w:rPr>
        <w:t>The account balance in 1595 includes the billing error up to December 31, 2011 and is proposed to be disposed in the current application the remaining variance from January 1, 2012 to March 2013 will be proposed for disposition in a future proceeding.</w:t>
      </w:r>
    </w:p>
    <w:p w:rsidR="00A61D92" w:rsidRDefault="00A61D92"/>
    <w:p w:rsidR="006A641C" w:rsidRDefault="006A641C"/>
    <w:p w:rsidR="00221C23" w:rsidRDefault="001371B6">
      <w:r>
        <w:t>NOW would like to draw attention to the following issues that NOW has corrected that have been audited by Regulatory Audit and Accounting division of the OEB.</w:t>
      </w:r>
      <w:r w:rsidR="00B52597">
        <w:t xml:space="preserve"> A</w:t>
      </w:r>
      <w:r w:rsidR="006A641C">
        <w:t xml:space="preserve">s a result of the Regulatory Audit </w:t>
      </w:r>
      <w:r w:rsidR="00B52597">
        <w:t>i</w:t>
      </w:r>
      <w:r w:rsidR="006A641C">
        <w:t>ssues were found in regards to variances that have been corrected and are correctly reflected in the current application (EB-2012-0153).</w:t>
      </w:r>
      <w:r w:rsidR="00F7479C">
        <w:t xml:space="preserve"> The issues relate to account 159</w:t>
      </w:r>
      <w:r w:rsidR="00221C23">
        <w:t>5</w:t>
      </w:r>
      <w:r w:rsidR="00F7479C">
        <w:t xml:space="preserve"> in which the </w:t>
      </w:r>
      <w:r w:rsidR="00C63C5D">
        <w:t>December</w:t>
      </w:r>
      <w:r w:rsidR="00F7479C">
        <w:t xml:space="preserve"> 2008 balances were used instead of December 2007 balances in the 2009 Disposition entry.</w:t>
      </w:r>
      <w:r w:rsidR="00221C23">
        <w:t xml:space="preserve"> The balance was adjusted from the 1595 account back to the proper accounts and can be seen in Exhibit 9, Tab 2, Schedule 2, </w:t>
      </w:r>
      <w:proofErr w:type="gramStart"/>
      <w:r w:rsidR="00221C23">
        <w:t>Attachment</w:t>
      </w:r>
      <w:proofErr w:type="gramEnd"/>
      <w:r w:rsidR="00221C23">
        <w:t xml:space="preserve"> 1 in the 2011 Q4 Other Adjustment column of EB-2012-0153.</w:t>
      </w:r>
    </w:p>
    <w:p w:rsidR="00221C23" w:rsidRDefault="00221C23"/>
    <w:p w:rsidR="006A641C" w:rsidRDefault="001371B6">
      <w:r w:rsidRPr="00546C17">
        <w:t>In</w:t>
      </w:r>
      <w:r w:rsidR="00F7479C" w:rsidRPr="00546C17">
        <w:t xml:space="preserve"> 2011</w:t>
      </w:r>
      <w:r w:rsidRPr="00546C17">
        <w:t xml:space="preserve"> a</w:t>
      </w:r>
      <w:r w:rsidR="00F7479C" w:rsidRPr="00546C17">
        <w:t xml:space="preserve"> settlement adjustment </w:t>
      </w:r>
      <w:r w:rsidRPr="00546C17">
        <w:t>was discovered as a result of a</w:t>
      </w:r>
      <w:r w:rsidR="00F7479C" w:rsidRPr="00546C17">
        <w:t xml:space="preserve"> Ministry of Finance RPP Fund Audit which resulted in a credit to customers as a result of IESO settlement process</w:t>
      </w:r>
      <w:r w:rsidR="00C63C5D" w:rsidRPr="00546C17">
        <w:t xml:space="preserve"> </w:t>
      </w:r>
      <w:r w:rsidR="00221C23" w:rsidRPr="00546C17">
        <w:t>of $735,856.11. This settlement was received October 2011, and is reflected in 1588</w:t>
      </w:r>
      <w:r w:rsidRPr="00546C17">
        <w:t xml:space="preserve"> as a part of 2011 transactions in Exhibit 9, Tab 2, Schedule 2, Attachment 1</w:t>
      </w:r>
      <w:r w:rsidR="00546C17" w:rsidRPr="00546C17">
        <w:t xml:space="preserve"> as a part of the $656,396</w:t>
      </w:r>
      <w:r w:rsidRPr="00546C17">
        <w:t>.</w:t>
      </w:r>
      <w:r>
        <w:t xml:space="preserve"> </w:t>
      </w:r>
    </w:p>
    <w:p w:rsidR="00B52597" w:rsidRDefault="00B52597"/>
    <w:p w:rsidR="00B52597" w:rsidRDefault="00DF20CE">
      <w:r>
        <w:t>I</w:t>
      </w:r>
      <w:r w:rsidR="00B52597">
        <w:t>n</w:t>
      </w:r>
      <w:r>
        <w:t xml:space="preserve"> the</w:t>
      </w:r>
      <w:r w:rsidR="00B52597">
        <w:t xml:space="preserve"> decision 201</w:t>
      </w:r>
      <w:r w:rsidR="00546C17">
        <w:t xml:space="preserve">2 IRM (EB-2011-0188) </w:t>
      </w:r>
      <w:r>
        <w:t>the Board directed NOW to apply to dispose of the residual balance in Account 1590 in conjunction with its next cost of service application. As such, NOW is bringing to the Boards a</w:t>
      </w:r>
      <w:r w:rsidR="00B52597">
        <w:t>ttention</w:t>
      </w:r>
      <w:r>
        <w:t xml:space="preserve"> the inclusion in</w:t>
      </w:r>
      <w:r w:rsidR="00B52597">
        <w:t xml:space="preserve"> current application</w:t>
      </w:r>
      <w:r>
        <w:t>.</w:t>
      </w:r>
    </w:p>
    <w:p w:rsidR="006A641C" w:rsidRDefault="006A641C"/>
    <w:p w:rsidR="003C6021" w:rsidRPr="003C6021" w:rsidRDefault="003C6021" w:rsidP="003C6021">
      <w:pPr>
        <w:autoSpaceDE w:val="0"/>
        <w:autoSpaceDN w:val="0"/>
        <w:adjustRightInd w:val="0"/>
      </w:pPr>
      <w:r w:rsidRPr="003C6021">
        <w:t>Yours Truly,</w:t>
      </w:r>
    </w:p>
    <w:p w:rsidR="003C6021" w:rsidRPr="003C6021" w:rsidRDefault="003C6021" w:rsidP="003C6021">
      <w:pPr>
        <w:autoSpaceDE w:val="0"/>
        <w:autoSpaceDN w:val="0"/>
        <w:adjustRightInd w:val="0"/>
      </w:pPr>
    </w:p>
    <w:p w:rsidR="003C6021" w:rsidRDefault="003C6021" w:rsidP="003C6021">
      <w:pPr>
        <w:autoSpaceDE w:val="0"/>
        <w:autoSpaceDN w:val="0"/>
        <w:adjustRightInd w:val="0"/>
        <w:rPr>
          <w:b/>
        </w:rPr>
      </w:pPr>
      <w:proofErr w:type="gramStart"/>
      <w:r w:rsidRPr="003C6021">
        <w:rPr>
          <w:b/>
        </w:rPr>
        <w:t>NORTHERN ONTARIO WIRES INC.</w:t>
      </w:r>
      <w:proofErr w:type="gramEnd"/>
    </w:p>
    <w:p w:rsidR="003C6021" w:rsidRDefault="003C6021" w:rsidP="003C6021">
      <w:pPr>
        <w:autoSpaceDE w:val="0"/>
        <w:autoSpaceDN w:val="0"/>
        <w:adjustRightInd w:val="0"/>
        <w:rPr>
          <w:b/>
        </w:rPr>
      </w:pPr>
    </w:p>
    <w:p w:rsidR="003C6021" w:rsidRPr="003C6021" w:rsidRDefault="003C6021" w:rsidP="003C6021">
      <w:pPr>
        <w:autoSpaceDE w:val="0"/>
        <w:autoSpaceDN w:val="0"/>
        <w:adjustRightInd w:val="0"/>
        <w:rPr>
          <w:b/>
        </w:rPr>
      </w:pPr>
    </w:p>
    <w:p w:rsidR="003C6021" w:rsidRPr="003C6021" w:rsidRDefault="003C6021" w:rsidP="003C6021">
      <w:pPr>
        <w:autoSpaceDE w:val="0"/>
        <w:autoSpaceDN w:val="0"/>
        <w:adjustRightInd w:val="0"/>
      </w:pPr>
      <w:r w:rsidRPr="003C6021">
        <w:t>Geoffrey Sutton, CA</w:t>
      </w:r>
    </w:p>
    <w:p w:rsidR="003C6021" w:rsidRPr="003C6021" w:rsidRDefault="003C6021" w:rsidP="003C6021">
      <w:pPr>
        <w:autoSpaceDE w:val="0"/>
        <w:autoSpaceDN w:val="0"/>
        <w:adjustRightInd w:val="0"/>
      </w:pPr>
    </w:p>
    <w:p w:rsidR="006A641C" w:rsidRDefault="003C6021" w:rsidP="003C6021">
      <w:pPr>
        <w:tabs>
          <w:tab w:val="right" w:pos="4320"/>
        </w:tabs>
      </w:pPr>
      <w:r w:rsidRPr="003C6021">
        <w:t>Chief Financial Officer</w:t>
      </w:r>
    </w:p>
    <w:p w:rsidR="009B5D85" w:rsidRDefault="009B5D85" w:rsidP="003C6021">
      <w:pPr>
        <w:tabs>
          <w:tab w:val="right" w:pos="4320"/>
        </w:tabs>
      </w:pPr>
    </w:p>
    <w:p w:rsidR="009B5D85" w:rsidRDefault="009B5D85" w:rsidP="006E2CD3">
      <w:pPr>
        <w:pageBreakBefore/>
        <w:tabs>
          <w:tab w:val="right" w:pos="4320"/>
        </w:tabs>
        <w:jc w:val="center"/>
        <w:rPr>
          <w:b/>
          <w:szCs w:val="18"/>
          <w:u w:val="single"/>
        </w:rPr>
      </w:pPr>
      <w:r>
        <w:rPr>
          <w:b/>
          <w:szCs w:val="18"/>
          <w:u w:val="single"/>
        </w:rPr>
        <w:lastRenderedPageBreak/>
        <w:t>Attachment 1 of 1</w:t>
      </w:r>
    </w:p>
    <w:p w:rsidR="009B5D85" w:rsidRDefault="009B5D85" w:rsidP="009B5D85">
      <w:pPr>
        <w:tabs>
          <w:tab w:val="right" w:pos="4320"/>
        </w:tabs>
        <w:rPr>
          <w:b/>
          <w:szCs w:val="18"/>
          <w:u w:val="single"/>
        </w:rPr>
      </w:pPr>
    </w:p>
    <w:p w:rsidR="009B5D85" w:rsidRDefault="009B5D85" w:rsidP="009B5D85">
      <w:pPr>
        <w:tabs>
          <w:tab w:val="right" w:pos="4320"/>
        </w:tabs>
        <w:rPr>
          <w:b/>
          <w:szCs w:val="18"/>
          <w:u w:val="single"/>
        </w:rPr>
      </w:pPr>
      <w:r>
        <w:rPr>
          <w:b/>
          <w:szCs w:val="18"/>
          <w:u w:val="single"/>
        </w:rPr>
        <w:t>2012 IRM EXCERPT FROM EB-2011-0188</w:t>
      </w:r>
    </w:p>
    <w:p w:rsidR="009B5D85" w:rsidRDefault="009B5D85" w:rsidP="009B5D85">
      <w:pPr>
        <w:tabs>
          <w:tab w:val="right" w:pos="4320"/>
        </w:tabs>
        <w:rPr>
          <w:szCs w:val="18"/>
          <w:u w:val="single"/>
        </w:rPr>
      </w:pPr>
    </w:p>
    <w:p w:rsidR="009B5D85" w:rsidRDefault="009B5D85" w:rsidP="009B5D85">
      <w:pPr>
        <w:tabs>
          <w:tab w:val="right" w:pos="4320"/>
        </w:tabs>
        <w:rPr>
          <w:szCs w:val="18"/>
          <w:u w:val="single"/>
        </w:rPr>
      </w:pPr>
    </w:p>
    <w:p w:rsidR="009B5D85" w:rsidRDefault="009B5D85" w:rsidP="009B5D85">
      <w:pPr>
        <w:tabs>
          <w:tab w:val="right" w:pos="4320"/>
        </w:tabs>
        <w:rPr>
          <w:szCs w:val="18"/>
          <w:u w:val="single"/>
        </w:rPr>
      </w:pPr>
      <w:r>
        <w:rPr>
          <w:szCs w:val="18"/>
          <w:u w:val="single"/>
        </w:rPr>
        <w:t xml:space="preserve">Deferral and Variance Account </w:t>
      </w:r>
      <w:proofErr w:type="spellStart"/>
      <w:r>
        <w:rPr>
          <w:szCs w:val="18"/>
          <w:u w:val="single"/>
        </w:rPr>
        <w:t>Workform</w:t>
      </w:r>
      <w:proofErr w:type="spellEnd"/>
      <w:r>
        <w:rPr>
          <w:szCs w:val="18"/>
          <w:u w:val="single"/>
        </w:rPr>
        <w:t xml:space="preserve"> – 2012 Disposition</w:t>
      </w:r>
    </w:p>
    <w:p w:rsidR="009B5D85" w:rsidRDefault="009B5D85" w:rsidP="009B5D85">
      <w:pPr>
        <w:rPr>
          <w:szCs w:val="18"/>
        </w:rPr>
      </w:pPr>
    </w:p>
    <w:p w:rsidR="009B5D85" w:rsidRDefault="009B5D85" w:rsidP="009B5D85">
      <w:pPr>
        <w:rPr>
          <w:szCs w:val="18"/>
        </w:rPr>
      </w:pPr>
      <w:r>
        <w:rPr>
          <w:szCs w:val="18"/>
        </w:rPr>
        <w:t xml:space="preserve">NOW Inc. has populated the Deferral and Variance Accounts continuity schedule as per the instructions provided in the </w:t>
      </w:r>
      <w:proofErr w:type="spellStart"/>
      <w:r>
        <w:rPr>
          <w:szCs w:val="18"/>
        </w:rPr>
        <w:t>workform</w:t>
      </w:r>
      <w:proofErr w:type="spellEnd"/>
      <w:r>
        <w:rPr>
          <w:szCs w:val="18"/>
        </w:rPr>
        <w:t>. NOW Inc. balances exceed the threshold and is therefore requesting for disposition of its balances.</w:t>
      </w:r>
    </w:p>
    <w:p w:rsidR="009B5D85" w:rsidRDefault="009B5D85" w:rsidP="009B5D85">
      <w:pPr>
        <w:rPr>
          <w:szCs w:val="18"/>
        </w:rPr>
      </w:pPr>
    </w:p>
    <w:p w:rsidR="009B5D85" w:rsidRDefault="009B5D85" w:rsidP="009B5D85">
      <w:pPr>
        <w:rPr>
          <w:szCs w:val="18"/>
        </w:rPr>
      </w:pPr>
      <w:r>
        <w:rPr>
          <w:szCs w:val="18"/>
        </w:rPr>
        <w:t>NOW Inc. is disclosing that it has been subject to an OEB Deferral and Variance account audit since July 2011, focusing at this time on the Group 1 accounts. OEB regulatory auditors have identified the following two issues that affect the deferral and variance account balances. They are as follows:</w:t>
      </w:r>
    </w:p>
    <w:p w:rsidR="009B5D85" w:rsidRDefault="009B5D85" w:rsidP="009B5D85">
      <w:pPr>
        <w:rPr>
          <w:b/>
          <w:szCs w:val="18"/>
        </w:rPr>
      </w:pPr>
    </w:p>
    <w:p w:rsidR="009B5D85" w:rsidRDefault="009B5D85" w:rsidP="009B5D85">
      <w:pPr>
        <w:rPr>
          <w:b/>
          <w:szCs w:val="18"/>
        </w:rPr>
      </w:pPr>
      <w:r>
        <w:rPr>
          <w:b/>
          <w:szCs w:val="18"/>
        </w:rPr>
        <w:t>OEB Deferral and Variance Account audit Item # 1:  2009 Disposition Entry – Erroneously included 1590 in the disposition entry and used Dec 31/08 balances instead of Dec 31/07 balances</w:t>
      </w:r>
    </w:p>
    <w:p w:rsidR="009B5D85" w:rsidRDefault="009B5D85" w:rsidP="009B5D85">
      <w:pPr>
        <w:rPr>
          <w:b/>
          <w:szCs w:val="18"/>
        </w:rPr>
      </w:pPr>
    </w:p>
    <w:p w:rsidR="009B5D85" w:rsidRDefault="009B5D85" w:rsidP="009B5D85">
      <w:pPr>
        <w:rPr>
          <w:szCs w:val="18"/>
        </w:rPr>
      </w:pPr>
      <w:r>
        <w:rPr>
          <w:szCs w:val="18"/>
        </w:rPr>
        <w:t xml:space="preserve">Background – As part of 2009 Cost of Service proceeding, NOW </w:t>
      </w:r>
      <w:proofErr w:type="spellStart"/>
      <w:r>
        <w:rPr>
          <w:szCs w:val="18"/>
        </w:rPr>
        <w:t>Inc</w:t>
      </w:r>
      <w:proofErr w:type="spellEnd"/>
      <w:r>
        <w:rPr>
          <w:szCs w:val="18"/>
        </w:rPr>
        <w:t xml:space="preserve"> received approval for disposition of Regulatory Asset Balances amounting to ($724,286) which represented Dec 31, 2007 Principle Balances with projected interest to April 30, 2009.  Please note that 1590 was not included in this total since the recovery period was not over yet (1590 had a 2 year recovery period starting July 2006). The rate rider approved by the Board and implemented by NOW Inc. for May 1, 2009 is based on the ($724,286) balance – with a 4 year disposition period.  When NOW Inc. performed the disposition adjustment to the Variance Schedules and the General Ledger as of May 1, 2009, we used the principle balances as of Dec 31, 2008 and not the balances as of Dec 31, 2007, with projected interest to Apr 30, 2009 and included the 1590 balances as well (1590 recovery period ceased in 2008). The error was a result of a misinterpretation of the wording in the OEB correspondence for 2009 rates, whereby reference was made to “most recent audited balances” to be </w:t>
      </w:r>
      <w:proofErr w:type="gramStart"/>
      <w:r>
        <w:rPr>
          <w:szCs w:val="18"/>
        </w:rPr>
        <w:t>used .</w:t>
      </w:r>
      <w:proofErr w:type="gramEnd"/>
      <w:r>
        <w:rPr>
          <w:szCs w:val="18"/>
        </w:rPr>
        <w:t xml:space="preserve"> The final submissions to the OEB were prepared at the same time that the 2008 Audited Financial Statement was being issued (</w:t>
      </w:r>
      <w:proofErr w:type="spellStart"/>
      <w:r>
        <w:rPr>
          <w:szCs w:val="18"/>
        </w:rPr>
        <w:t>ie</w:t>
      </w:r>
      <w:proofErr w:type="spellEnd"/>
      <w:r>
        <w:rPr>
          <w:szCs w:val="18"/>
        </w:rPr>
        <w:t>: April 2009). As a result, NOW Inc. prepared its entry using Dec 31, 2008 balances and included 1590 as well. The total disposition entry was for ($715,752), a difference of $8,534 to the Dec 31, 2007 balances.  Details provided as follows:</w:t>
      </w:r>
    </w:p>
    <w:p w:rsidR="009B5D85" w:rsidRDefault="009B5D85" w:rsidP="009B5D85">
      <w:pPr>
        <w:rPr>
          <w:szCs w:val="18"/>
        </w:rPr>
      </w:pPr>
    </w:p>
    <w:p w:rsidR="009B5D85" w:rsidRDefault="009B5D85" w:rsidP="009B5D85">
      <w:pPr>
        <w:rPr>
          <w:szCs w:val="18"/>
        </w:rPr>
      </w:pPr>
      <w:r>
        <w:rPr>
          <w:szCs w:val="18"/>
        </w:rPr>
        <w:object w:dxaOrig="9720" w:dyaOrig="5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260.85pt" o:ole="">
            <v:imagedata r:id="rId7" o:title=""/>
          </v:shape>
          <o:OLEObject Type="Embed" ProgID="Excel.Sheet.8" ShapeID="_x0000_i1025" DrawAspect="Content" ObjectID="_1425457602" r:id="rId8"/>
        </w:object>
      </w:r>
    </w:p>
    <w:p w:rsidR="009B5D85" w:rsidRDefault="009B5D85" w:rsidP="009B5D85">
      <w:pPr>
        <w:rPr>
          <w:szCs w:val="18"/>
        </w:rPr>
      </w:pPr>
    </w:p>
    <w:p w:rsidR="009B5D85" w:rsidRDefault="009B5D85" w:rsidP="009B5D85">
      <w:pPr>
        <w:rPr>
          <w:szCs w:val="18"/>
        </w:rPr>
      </w:pPr>
      <w:r>
        <w:rPr>
          <w:szCs w:val="18"/>
        </w:rPr>
        <w:t>Additional Information – As part of its 2011 IRM, NOW applied for and received approval for Group 1 Variance accounts for the balances as of Dec 31, 2009. These balances included the disposition entry May 1, 2009 as described above. Therefore the balances approved for disposition in the 2011 IRM represented 2009 transactions.</w:t>
      </w:r>
    </w:p>
    <w:p w:rsidR="009B5D85" w:rsidRDefault="009B5D85" w:rsidP="009B5D85">
      <w:pPr>
        <w:rPr>
          <w:szCs w:val="18"/>
        </w:rPr>
      </w:pPr>
    </w:p>
    <w:p w:rsidR="009B5D85" w:rsidRDefault="009B5D85" w:rsidP="009B5D85">
      <w:pPr>
        <w:rPr>
          <w:szCs w:val="18"/>
        </w:rPr>
      </w:pPr>
      <w:r>
        <w:rPr>
          <w:szCs w:val="18"/>
        </w:rPr>
        <w:t>Essentially NOW Inc. has transferred 2008 Deferral Accounts transactions to 1595 as well as 1590 Residual Balance – both of which were not part of the approved balances in the 2009 Cost of Service Application.  The net difference amounts to $8,534. NOW Inc. has discussed with the OEB regulatory auditors how best to address this issue. NOW Inc. is disclosing this issue to the Board and proposes the following to remedy the error:</w:t>
      </w:r>
    </w:p>
    <w:p w:rsidR="009B5D85" w:rsidRDefault="009B5D85" w:rsidP="009B5D85">
      <w:pPr>
        <w:rPr>
          <w:szCs w:val="18"/>
        </w:rPr>
      </w:pPr>
    </w:p>
    <w:p w:rsidR="009B5D85" w:rsidRDefault="009B5D85" w:rsidP="009B5D85">
      <w:pPr>
        <w:rPr>
          <w:szCs w:val="18"/>
        </w:rPr>
      </w:pPr>
      <w:r>
        <w:rPr>
          <w:szCs w:val="18"/>
        </w:rPr>
        <w:t xml:space="preserve">NOW Inc. is requesting to the Board as part of this 2012 rate proceeding,  approval for the disposition of the 1590 residual balance and the 2008 Group 1 account transactions that were erroneously transferred to 1595 (net is $10,826 owing from customers).  NOW Inc. would move this net balance from the “1595-2009 Regulatory Asset Balances” account to the “1595-2012 Regulatory Asset Balances” account. NOW Inc. will move the remaining amount of $3,263 which represents the 2008 Group 2 account transactions back to their original accounts (as they are not eligible for disposal as part of the IRM process) and they will flow through disposition as part of the 2013 COS Application.  The 1590 balance and the 2008 Group 1 account transactions are reflected in column </w:t>
      </w:r>
      <w:proofErr w:type="gramStart"/>
      <w:r>
        <w:rPr>
          <w:szCs w:val="18"/>
        </w:rPr>
        <w:t>BI  “</w:t>
      </w:r>
      <w:proofErr w:type="gramEnd"/>
      <w:r>
        <w:rPr>
          <w:szCs w:val="18"/>
        </w:rPr>
        <w:t>Other Adjustments during Q4 2010”.</w:t>
      </w:r>
    </w:p>
    <w:p w:rsidR="009B5D85" w:rsidRDefault="009B5D85" w:rsidP="009B5D85">
      <w:pPr>
        <w:rPr>
          <w:szCs w:val="18"/>
        </w:rPr>
      </w:pPr>
    </w:p>
    <w:p w:rsidR="009B5D85" w:rsidRDefault="009B5D85" w:rsidP="009B5D85">
      <w:pPr>
        <w:rPr>
          <w:szCs w:val="18"/>
        </w:rPr>
      </w:pPr>
      <w:r>
        <w:rPr>
          <w:szCs w:val="18"/>
        </w:rPr>
        <w:t>The Total Group 1 Accounts – column B1 “Other Adjustments during Q4 2010</w:t>
      </w:r>
      <w:proofErr w:type="gramStart"/>
      <w:r>
        <w:rPr>
          <w:szCs w:val="18"/>
        </w:rPr>
        <w:t>”  as</w:t>
      </w:r>
      <w:proofErr w:type="gramEnd"/>
      <w:r>
        <w:rPr>
          <w:szCs w:val="18"/>
        </w:rPr>
        <w:t xml:space="preserve"> per the continuity schedule is $10,826, and not $11,796.  NOW Inc. has adjusted the 1590 residual balance by $970 (from $167,337 to $166,367). This represents a difference between the carrying charges forecast as per the May 1, 2009 disposition entry and the actuals as recorded in the general ledger. The actual carrying charges are reflected in the revised 1590 actual figure of $166,367 to which approval for disposition is being requested. The $167,337 figure as previously recorded was based on forecasted interest to April 30, 2009. NOW Inc. is seeking disposition of the actual 1590 Residual balance of $166,367.</w:t>
      </w:r>
    </w:p>
    <w:p w:rsidR="009B5D85" w:rsidRDefault="009B5D85" w:rsidP="009B5D85">
      <w:pPr>
        <w:rPr>
          <w:szCs w:val="18"/>
        </w:rPr>
      </w:pPr>
      <w:r>
        <w:rPr>
          <w:szCs w:val="18"/>
        </w:rPr>
        <w:t>The residual balance of 1590 is included in the schedule and is being allocated to rate classes in proportion to the recovery share as established when the rate riders were implemented.</w:t>
      </w:r>
    </w:p>
    <w:p w:rsidR="009B5D85" w:rsidRDefault="009B5D85" w:rsidP="009B5D85">
      <w:pPr>
        <w:rPr>
          <w:szCs w:val="18"/>
        </w:rPr>
      </w:pPr>
    </w:p>
    <w:p w:rsidR="009B5D85" w:rsidRDefault="009B5D85" w:rsidP="009B5D85">
      <w:pPr>
        <w:rPr>
          <w:szCs w:val="18"/>
        </w:rPr>
      </w:pPr>
      <w:r>
        <w:rPr>
          <w:szCs w:val="18"/>
        </w:rPr>
        <w:lastRenderedPageBreak/>
        <w:t>Variances as per column BX –</w:t>
      </w:r>
      <w:proofErr w:type="gramStart"/>
      <w:r>
        <w:rPr>
          <w:szCs w:val="18"/>
        </w:rPr>
        <w:t>“ Variance</w:t>
      </w:r>
      <w:proofErr w:type="gramEnd"/>
      <w:r>
        <w:rPr>
          <w:szCs w:val="18"/>
        </w:rPr>
        <w:t xml:space="preserve"> RRR versus 2010 Balance (Principle + Interest)” are explained as follows:</w:t>
      </w:r>
    </w:p>
    <w:p w:rsidR="009B5D85" w:rsidRDefault="009B5D85" w:rsidP="009B5D85">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8"/>
        <w:gridCol w:w="661"/>
        <w:gridCol w:w="1000"/>
        <w:gridCol w:w="4197"/>
      </w:tblGrid>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b/>
                <w:szCs w:val="18"/>
              </w:rPr>
            </w:pPr>
            <w:r>
              <w:rPr>
                <w:b/>
                <w:szCs w:val="18"/>
              </w:rPr>
              <w:t>Account Description</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b/>
                <w:szCs w:val="18"/>
              </w:rPr>
            </w:pPr>
            <w:r>
              <w:rPr>
                <w:b/>
                <w:szCs w:val="18"/>
              </w:rPr>
              <w:t>A/C#</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b/>
                <w:szCs w:val="18"/>
              </w:rPr>
            </w:pPr>
            <w:r>
              <w:rPr>
                <w:b/>
                <w:szCs w:val="18"/>
              </w:rPr>
              <w:t>Variance</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b/>
                <w:szCs w:val="18"/>
              </w:rPr>
            </w:pPr>
            <w:r>
              <w:rPr>
                <w:b/>
                <w:szCs w:val="18"/>
              </w:rPr>
              <w:t>Explanation</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LV Variance Account</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1550</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($61,335)</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Represents 2008 transactions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RSVA – Wholesale Market Service Charge</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1580</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$58,734</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Represents 2008 transactions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RSVA- Retail Transmission Network Charge</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1584</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($30,302)</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Represents 2008 transactions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RSVA- Retail Transmission Connection Charge</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1586</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$207,341</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Represents 2008 transactions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 xml:space="preserve">RSVA – Power </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1588</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($18,899)</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Represents 2008 transactions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Recovery of Regulatory Balances</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1590</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(167,336)</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Residual Balance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tcPr>
          <w:p w:rsidR="009B5D85" w:rsidRDefault="009B5D85">
            <w:pPr>
              <w:spacing w:line="276" w:lineRule="auto"/>
              <w:rPr>
                <w:b/>
                <w:szCs w:val="18"/>
              </w:rPr>
            </w:pPr>
            <w:r>
              <w:rPr>
                <w:b/>
                <w:szCs w:val="18"/>
              </w:rPr>
              <w:t>TOTAL RSVA Variance</w:t>
            </w:r>
          </w:p>
          <w:p w:rsidR="009B5D85" w:rsidRDefault="009B5D85">
            <w:pPr>
              <w:spacing w:line="276" w:lineRule="auto"/>
              <w:rPr>
                <w:b/>
                <w:szCs w:val="18"/>
              </w:rPr>
            </w:pPr>
          </w:p>
        </w:tc>
        <w:tc>
          <w:tcPr>
            <w:tcW w:w="572" w:type="dxa"/>
            <w:tcBorders>
              <w:top w:val="single" w:sz="4" w:space="0" w:color="000000"/>
              <w:left w:val="single" w:sz="4" w:space="0" w:color="000000"/>
              <w:bottom w:val="single" w:sz="4" w:space="0" w:color="000000"/>
              <w:right w:val="single" w:sz="4" w:space="0" w:color="000000"/>
            </w:tcBorders>
          </w:tcPr>
          <w:p w:rsidR="009B5D85" w:rsidRDefault="009B5D85">
            <w:pPr>
              <w:spacing w:line="276" w:lineRule="auto"/>
              <w:rPr>
                <w:b/>
                <w:szCs w:val="18"/>
              </w:rPr>
            </w:pP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b/>
                <w:szCs w:val="18"/>
                <w:u w:val="double"/>
              </w:rPr>
            </w:pPr>
            <w:r>
              <w:rPr>
                <w:b/>
                <w:szCs w:val="18"/>
                <w:u w:val="double"/>
              </w:rPr>
              <w:t>($11,797)</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Represents 2008 transactions as explained above</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Deferred Payment in Lieu of Taxes</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1562</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$49,123</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 xml:space="preserve">Continuity Schedule represents balance as per 1562 Deferred PILS determination &amp; disposition review and supporting documentation (see Tab 5) which differs to what has been reported on our general ledger since 2006. This difference will be adjusted for following the OEB’s review and approval of the Deferred PILS component of this application. </w:t>
            </w:r>
          </w:p>
        </w:tc>
      </w:tr>
      <w:tr w:rsidR="009B5D85" w:rsidTr="009B5D85">
        <w:tc>
          <w:tcPr>
            <w:tcW w:w="308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Special Purpose Charge Assessment</w:t>
            </w:r>
          </w:p>
        </w:tc>
        <w:tc>
          <w:tcPr>
            <w:tcW w:w="572"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1521</w:t>
            </w:r>
          </w:p>
        </w:tc>
        <w:tc>
          <w:tcPr>
            <w:tcW w:w="849"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$45,574</w:t>
            </w:r>
          </w:p>
        </w:tc>
        <w:tc>
          <w:tcPr>
            <w:tcW w:w="4346" w:type="dxa"/>
            <w:tcBorders>
              <w:top w:val="single" w:sz="4" w:space="0" w:color="000000"/>
              <w:left w:val="single" w:sz="4" w:space="0" w:color="000000"/>
              <w:bottom w:val="single" w:sz="4" w:space="0" w:color="000000"/>
              <w:right w:val="single" w:sz="4" w:space="0" w:color="000000"/>
            </w:tcBorders>
            <w:hideMark/>
          </w:tcPr>
          <w:p w:rsidR="009B5D85" w:rsidRDefault="009B5D85">
            <w:pPr>
              <w:spacing w:line="276" w:lineRule="auto"/>
              <w:rPr>
                <w:szCs w:val="18"/>
              </w:rPr>
            </w:pPr>
            <w:r>
              <w:rPr>
                <w:szCs w:val="18"/>
              </w:rPr>
              <w:t xml:space="preserve">Difference represents actual and projected recoveries and interest from Jan 1, 2011 to April 2012 which </w:t>
            </w:r>
            <w:proofErr w:type="gramStart"/>
            <w:r>
              <w:rPr>
                <w:szCs w:val="18"/>
              </w:rPr>
              <w:t>have</w:t>
            </w:r>
            <w:proofErr w:type="gramEnd"/>
            <w:r>
              <w:rPr>
                <w:szCs w:val="18"/>
              </w:rPr>
              <w:t xml:space="preserve"> been recorded in 2010 section of the Continuity Schedule. See 1521 section below for more details</w:t>
            </w:r>
          </w:p>
        </w:tc>
      </w:tr>
    </w:tbl>
    <w:p w:rsidR="009B5D85" w:rsidRDefault="009B5D85" w:rsidP="009B5D85">
      <w:pPr>
        <w:rPr>
          <w:szCs w:val="18"/>
        </w:rPr>
      </w:pPr>
    </w:p>
    <w:p w:rsidR="009B5D85" w:rsidRDefault="009B5D85" w:rsidP="009B5D85">
      <w:pPr>
        <w:rPr>
          <w:szCs w:val="18"/>
        </w:rPr>
      </w:pPr>
      <w:r>
        <w:rPr>
          <w:szCs w:val="18"/>
        </w:rPr>
        <w:t>In summary, the following deferral and variance account balances are included in this application for 2012 disposition:</w:t>
      </w:r>
    </w:p>
    <w:p w:rsidR="009B5D85" w:rsidRDefault="009B5D85" w:rsidP="009B5D85">
      <w:pPr>
        <w:rPr>
          <w:szCs w:val="18"/>
        </w:rPr>
      </w:pPr>
    </w:p>
    <w:p w:rsidR="009B5D85" w:rsidRDefault="009B5D85" w:rsidP="009B5D85">
      <w:pPr>
        <w:rPr>
          <w:szCs w:val="18"/>
        </w:rPr>
      </w:pPr>
      <w:r>
        <w:rPr>
          <w:szCs w:val="18"/>
        </w:rPr>
        <w:t xml:space="preserve"> </w:t>
      </w:r>
      <w:r>
        <w:rPr>
          <w:szCs w:val="18"/>
        </w:rPr>
        <w:object w:dxaOrig="8700" w:dyaOrig="3330">
          <v:shape id="_x0000_i1026" type="#_x0000_t75" style="width:434.7pt;height:166.4pt" o:ole="">
            <v:imagedata r:id="rId9" o:title=""/>
          </v:shape>
          <o:OLEObject Type="Embed" ProgID="Excel.Sheet.12" ShapeID="_x0000_i1026" DrawAspect="Content" ObjectID="_1425457603" r:id="rId10"/>
        </w:object>
      </w:r>
    </w:p>
    <w:p w:rsidR="009B5D85" w:rsidRDefault="009B5D85" w:rsidP="009B5D85">
      <w:pPr>
        <w:rPr>
          <w:szCs w:val="18"/>
        </w:rPr>
      </w:pPr>
    </w:p>
    <w:p w:rsidR="009B5D85" w:rsidRDefault="009B5D85" w:rsidP="009B5D85">
      <w:pPr>
        <w:rPr>
          <w:b/>
          <w:szCs w:val="18"/>
        </w:rPr>
      </w:pPr>
      <w:r>
        <w:rPr>
          <w:b/>
          <w:szCs w:val="18"/>
        </w:rPr>
        <w:t>OEB Deferral and Variance Account audit Item # 2:  2011 Settlement Adjustment as per Ministry of Finance RPP Fund Audit</w:t>
      </w:r>
    </w:p>
    <w:p w:rsidR="009B5D85" w:rsidRDefault="009B5D85" w:rsidP="009B5D85">
      <w:pPr>
        <w:rPr>
          <w:b/>
          <w:szCs w:val="18"/>
        </w:rPr>
      </w:pPr>
    </w:p>
    <w:p w:rsidR="009B5D85" w:rsidRDefault="009B5D85" w:rsidP="009B5D85">
      <w:pPr>
        <w:rPr>
          <w:szCs w:val="18"/>
        </w:rPr>
      </w:pPr>
      <w:r>
        <w:rPr>
          <w:szCs w:val="18"/>
        </w:rPr>
        <w:t xml:space="preserve">Background – In 2010 the Ministry of Finance performed an RPP Fund Audit. The audit covered the period 2005 to May 2010 and a report dated June 30, 2010 was provided to NOW Inc. listing the observations and requesting a plan for action to address the observations. NOW Inc. worked with the Ministry of Finance to address the issues and reconcile the years in question through until November 2010, at which time NOW Inc. provided the Ministry with </w:t>
      </w:r>
      <w:proofErr w:type="gramStart"/>
      <w:r>
        <w:rPr>
          <w:szCs w:val="18"/>
        </w:rPr>
        <w:t>a reconciliation</w:t>
      </w:r>
      <w:proofErr w:type="gramEnd"/>
      <w:r>
        <w:rPr>
          <w:szCs w:val="18"/>
        </w:rPr>
        <w:t xml:space="preserve"> for 2005 to 2009. This reconciliation suggested an amount of $735,856.11 credit owing to customers as a result of IESO RPP settlement process and the settlement claim being made by NOW.  NOW Inc. was waiting for a written acknowledgement or report from the Ministry before proceeding with filing the adjustment with the IESO. As of July 2011 we had not received such written acknowledgement to proceed, therefore we contacted the Ministry. They were not aware that they have not given the OK to proceed, have reviewed the adjustment and have accepted the proposed settlement adjustment. NOW Inc. will process this adjustment as part of its October 2011 RPP Settlement filing.</w:t>
      </w:r>
    </w:p>
    <w:p w:rsidR="009B5D85" w:rsidRDefault="009B5D85" w:rsidP="009B5D85">
      <w:pPr>
        <w:rPr>
          <w:szCs w:val="18"/>
        </w:rPr>
      </w:pPr>
    </w:p>
    <w:p w:rsidR="009B5D85" w:rsidRDefault="009B5D85" w:rsidP="009B5D85">
      <w:pPr>
        <w:rPr>
          <w:szCs w:val="18"/>
        </w:rPr>
      </w:pPr>
      <w:r>
        <w:rPr>
          <w:szCs w:val="18"/>
        </w:rPr>
        <w:t xml:space="preserve">This settlement amount will be received in November 2011 and would normally flow through the variances and be proposed by NOW Inc. to be disposed as part of 2013 rate application process (which will be based on 2011 year end balances). NOW Inc. is disclosing this issue to the board in the current proceeding.  NOW Inc. has given consideration to the fact that this settlement relates to prior periods and the Ontario Energy Board may decide that the balance represents a significant return to the customers and should be disposed of in the current rate proceeding.  NOW Inc. wishes to advise the board that it anticipates an increase to customer rates in 2013 as a result of the 2013 Cost of Service Application and Smart Meter Recovery Rate Rider. Therefore NOW Inc. feels that by allowing the settlement credit to be disposed of in 2013, this will provide for natural rate mitigation. </w:t>
      </w:r>
    </w:p>
    <w:p w:rsidR="009B5D85" w:rsidRDefault="009B5D85" w:rsidP="009B5D85">
      <w:pPr>
        <w:rPr>
          <w:szCs w:val="18"/>
        </w:rPr>
      </w:pPr>
    </w:p>
    <w:p w:rsidR="009B5D85" w:rsidRDefault="009B5D85" w:rsidP="009B5D85">
      <w:pPr>
        <w:rPr>
          <w:szCs w:val="18"/>
        </w:rPr>
      </w:pPr>
      <w:r>
        <w:rPr>
          <w:szCs w:val="18"/>
        </w:rPr>
        <w:t>Accordingly NOW Inc. has not included the RPP settlement credit (that is expected from the IESO in November 2011) as part of the balances being disposed of in the 2012 IRM 3 Rate Application.  However NOW Inc. is seeking Board direction with respect to this issue.</w:t>
      </w:r>
    </w:p>
    <w:sectPr w:rsidR="009B5D85" w:rsidSect="0000221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67D55"/>
    <w:multiLevelType w:val="hybridMultilevel"/>
    <w:tmpl w:val="9CF87DAE"/>
    <w:lvl w:ilvl="0" w:tplc="67D61A08">
      <w:start w:val="1"/>
      <w:numFmt w:val="decimal"/>
      <w:lvlText w:val="%1."/>
      <w:lvlJc w:val="left"/>
      <w:pPr>
        <w:tabs>
          <w:tab w:val="num" w:pos="1080"/>
        </w:tabs>
        <w:ind w:left="1080" w:hanging="720"/>
      </w:pPr>
      <w:rPr>
        <w:rFonts w:hint="default"/>
      </w:rPr>
    </w:lvl>
    <w:lvl w:ilvl="1" w:tplc="E95E56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37"/>
    <w:rsid w:val="0008744C"/>
    <w:rsid w:val="000E4FF9"/>
    <w:rsid w:val="00125888"/>
    <w:rsid w:val="001371B6"/>
    <w:rsid w:val="001E2437"/>
    <w:rsid w:val="00221C23"/>
    <w:rsid w:val="003C6021"/>
    <w:rsid w:val="004E54C6"/>
    <w:rsid w:val="00546C17"/>
    <w:rsid w:val="006273A2"/>
    <w:rsid w:val="00685472"/>
    <w:rsid w:val="006A641C"/>
    <w:rsid w:val="006E2CD3"/>
    <w:rsid w:val="006E7AC3"/>
    <w:rsid w:val="00753A40"/>
    <w:rsid w:val="008D5FFA"/>
    <w:rsid w:val="00930B4F"/>
    <w:rsid w:val="009B5D85"/>
    <w:rsid w:val="00A61D92"/>
    <w:rsid w:val="00A918A5"/>
    <w:rsid w:val="00B52597"/>
    <w:rsid w:val="00C63C5D"/>
    <w:rsid w:val="00C76AC4"/>
    <w:rsid w:val="00CE742E"/>
    <w:rsid w:val="00DF20CE"/>
    <w:rsid w:val="00F715E7"/>
    <w:rsid w:val="00F747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3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021"/>
    <w:rPr>
      <w:rFonts w:ascii="Tahoma" w:hAnsi="Tahoma" w:cs="Tahoma"/>
      <w:sz w:val="16"/>
      <w:szCs w:val="16"/>
    </w:rPr>
  </w:style>
  <w:style w:type="character" w:customStyle="1" w:styleId="BalloonTextChar">
    <w:name w:val="Balloon Text Char"/>
    <w:basedOn w:val="DefaultParagraphFont"/>
    <w:link w:val="BalloonText"/>
    <w:uiPriority w:val="99"/>
    <w:semiHidden/>
    <w:rsid w:val="003C602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3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021"/>
    <w:rPr>
      <w:rFonts w:ascii="Tahoma" w:hAnsi="Tahoma" w:cs="Tahoma"/>
      <w:sz w:val="16"/>
      <w:szCs w:val="16"/>
    </w:rPr>
  </w:style>
  <w:style w:type="character" w:customStyle="1" w:styleId="BalloonTextChar">
    <w:name w:val="Balloon Text Char"/>
    <w:basedOn w:val="DefaultParagraphFont"/>
    <w:link w:val="BalloonText"/>
    <w:uiPriority w:val="99"/>
    <w:semiHidden/>
    <w:rsid w:val="003C60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2114</Words>
  <Characters>12054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Sutton</dc:creator>
  <cp:lastModifiedBy>Susi Vogt</cp:lastModifiedBy>
  <cp:revision>2</cp:revision>
  <cp:lastPrinted>2013-03-22T15:39:00Z</cp:lastPrinted>
  <dcterms:created xsi:type="dcterms:W3CDTF">2013-03-22T15:40:00Z</dcterms:created>
  <dcterms:modified xsi:type="dcterms:W3CDTF">2013-03-22T15:40:00Z</dcterms:modified>
</cp:coreProperties>
</file>